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466D0F" w:rsidR="67781C0E" w:rsidP="00F010DE" w:rsidRDefault="00312729" w14:paraId="16A77B77" w14:textId="466CCCA8">
      <w:pPr>
        <w:rPr>
          <w:rFonts w:cs="Calibri"/>
          <w:lang w:val="en-GB"/>
        </w:rPr>
      </w:pPr>
      <w:r w:rsidRPr="00466D0F">
        <w:rPr>
          <w:rFonts w:cs="Calibri"/>
          <w:noProof/>
          <w:lang w:val="en-GB"/>
        </w:rPr>
        <mc:AlternateContent>
          <mc:Choice Requires="wps">
            <w:drawing>
              <wp:anchor distT="0" distB="0" distL="114300" distR="114300" simplePos="0" relativeHeight="251658241" behindDoc="0" locked="0" layoutInCell="1" allowOverlap="1" wp14:anchorId="6C605B32" wp14:editId="1CAB6FC6">
                <wp:simplePos x="0" y="0"/>
                <wp:positionH relativeFrom="margin">
                  <wp:posOffset>-510540</wp:posOffset>
                </wp:positionH>
                <wp:positionV relativeFrom="paragraph">
                  <wp:posOffset>1035050</wp:posOffset>
                </wp:positionV>
                <wp:extent cx="7343775" cy="2228850"/>
                <wp:effectExtent l="0" t="0" r="9525" b="0"/>
                <wp:wrapNone/>
                <wp:docPr id="1566631982" name="Text Box 5"/>
                <wp:cNvGraphicFramePr/>
                <a:graphic xmlns:a="http://schemas.openxmlformats.org/drawingml/2006/main">
                  <a:graphicData uri="http://schemas.microsoft.com/office/word/2010/wordprocessingShape">
                    <wps:wsp>
                      <wps:cNvSpPr txBox="1"/>
                      <wps:spPr>
                        <a:xfrm>
                          <a:off x="0" y="0"/>
                          <a:ext cx="7343775" cy="2228850"/>
                        </a:xfrm>
                        <a:prstGeom prst="rect">
                          <a:avLst/>
                        </a:prstGeom>
                        <a:solidFill>
                          <a:srgbClr val="0054A4"/>
                        </a:solidFill>
                        <a:ln w="6350">
                          <a:noFill/>
                        </a:ln>
                      </wps:spPr>
                      <wps:txbx>
                        <w:txbxContent>
                          <w:p w:rsidR="00EB4E49" w:rsidP="004243E4" w:rsidRDefault="009110FE" w14:paraId="125ABEA4" w14:textId="500982A1">
                            <w:pPr>
                              <w:jc w:val="center"/>
                              <w:rPr>
                                <w:rFonts w:ascii="Arial" w:hAnsi="Arial" w:cs="Arial"/>
                                <w:b/>
                                <w:bCs/>
                                <w:color w:val="FFFFFF" w:themeColor="background1"/>
                                <w:sz w:val="80"/>
                                <w:szCs w:val="80"/>
                              </w:rPr>
                            </w:pPr>
                            <w:r w:rsidRPr="004243E4">
                              <w:rPr>
                                <w:rFonts w:ascii="Arial" w:hAnsi="Arial" w:cs="Arial"/>
                                <w:b/>
                                <w:bCs/>
                                <w:color w:val="FFFFFF" w:themeColor="background1"/>
                                <w:sz w:val="80"/>
                                <w:szCs w:val="80"/>
                              </w:rPr>
                              <w:t>Adult Social Care</w:t>
                            </w:r>
                          </w:p>
                          <w:p w:rsidRPr="004243E4" w:rsidR="00880B26" w:rsidP="004243E4" w:rsidRDefault="005C7A1F" w14:paraId="31B76542" w14:textId="5949D0E9">
                            <w:pPr>
                              <w:jc w:val="center"/>
                              <w:rPr>
                                <w:rFonts w:ascii="Arial" w:hAnsi="Arial" w:cs="Arial"/>
                                <w:b/>
                                <w:bCs/>
                                <w:color w:val="FFFFFF" w:themeColor="background1"/>
                                <w:sz w:val="80"/>
                                <w:szCs w:val="80"/>
                              </w:rPr>
                            </w:pPr>
                            <w:r>
                              <w:rPr>
                                <w:rFonts w:ascii="Arial" w:hAnsi="Arial" w:cs="Arial"/>
                                <w:b/>
                                <w:bCs/>
                                <w:color w:val="FFFFFF" w:themeColor="background1"/>
                                <w:sz w:val="80"/>
                                <w:szCs w:val="80"/>
                              </w:rPr>
                              <w:t>Gloucestershire Care Market</w:t>
                            </w:r>
                          </w:p>
                          <w:p w:rsidRPr="0093764E" w:rsidR="004243E4" w:rsidRDefault="004243E4" w14:paraId="23087646" w14:textId="77777777">
                            <w:pPr>
                              <w:rPr>
                                <w:rFonts w:ascii="Arial" w:hAnsi="Arial" w:cs="Arial"/>
                                <w:b/>
                                <w:bCs/>
                                <w:color w:val="FFFFFF" w:themeColor="background1"/>
                                <w:sz w:val="56"/>
                                <w:szCs w:val="56"/>
                              </w:rPr>
                            </w:pPr>
                          </w:p>
                          <w:p w:rsidRPr="004243E4" w:rsidR="009110FE" w:rsidP="004243E4" w:rsidRDefault="005C7A1F" w14:paraId="5E91E04B" w14:textId="30B239BF">
                            <w:pPr>
                              <w:jc w:val="center"/>
                              <w:rPr>
                                <w:rFonts w:ascii="Arial" w:hAnsi="Arial" w:cs="Arial"/>
                                <w:b/>
                                <w:bCs/>
                                <w:color w:val="FFFFFF" w:themeColor="background1"/>
                                <w:sz w:val="52"/>
                                <w:szCs w:val="52"/>
                              </w:rPr>
                            </w:pPr>
                            <w:r>
                              <w:rPr>
                                <w:rFonts w:ascii="Arial" w:hAnsi="Arial" w:cs="Arial"/>
                                <w:b/>
                                <w:bCs/>
                                <w:color w:val="FFFFFF" w:themeColor="background1"/>
                                <w:sz w:val="52"/>
                                <w:szCs w:val="52"/>
                              </w:rPr>
                              <w:t xml:space="preserve">Annual </w:t>
                            </w:r>
                            <w:r w:rsidR="004C13DB">
                              <w:rPr>
                                <w:rFonts w:ascii="Arial" w:hAnsi="Arial" w:cs="Arial"/>
                                <w:b/>
                                <w:bCs/>
                                <w:color w:val="FFFFFF" w:themeColor="background1"/>
                                <w:sz w:val="52"/>
                                <w:szCs w:val="52"/>
                              </w:rPr>
                              <w:t xml:space="preserve">Market </w:t>
                            </w:r>
                            <w:r w:rsidRPr="004243E4" w:rsidR="009110FE">
                              <w:rPr>
                                <w:rFonts w:ascii="Arial" w:hAnsi="Arial" w:cs="Arial"/>
                                <w:b/>
                                <w:bCs/>
                                <w:color w:val="FFFFFF" w:themeColor="background1"/>
                                <w:sz w:val="52"/>
                                <w:szCs w:val="52"/>
                              </w:rPr>
                              <w:t>Quality Report</w:t>
                            </w:r>
                            <w:r w:rsidR="005F3323">
                              <w:rPr>
                                <w:rFonts w:ascii="Arial" w:hAnsi="Arial" w:cs="Arial"/>
                                <w:b/>
                                <w:bCs/>
                                <w:color w:val="FFFFFF" w:themeColor="background1"/>
                                <w:sz w:val="52"/>
                                <w:szCs w:val="52"/>
                              </w:rPr>
                              <w:t xml:space="preserve"> 2025-26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5AABEBC7">
              <v:shapetype id="_x0000_t202" coordsize="21600,21600" o:spt="202" path="m,l,21600r21600,l21600,xe" w14:anchorId="6C605B32">
                <v:stroke joinstyle="miter"/>
                <v:path gradientshapeok="t" o:connecttype="rect"/>
              </v:shapetype>
              <v:shape id="Text Box 5" style="position:absolute;margin-left:-40.2pt;margin-top:81.5pt;width:578.25pt;height:175.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26" fillcolor="#0054a4"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">
                <v:textbox>
                  <w:txbxContent>
                    <w:p w:rsidR="00EB4E49" w:rsidP="004243E4" w:rsidRDefault="009110FE" w14:paraId="3D7F3C3A" w14:textId="500982A1">
                      <w:pPr>
                        <w:jc w:val="center"/>
                        <w:rPr>
                          <w:rFonts w:ascii="Arial" w:hAnsi="Arial" w:cs="Arial"/>
                          <w:b/>
                          <w:bCs/>
                          <w:color w:val="FFFFFF" w:themeColor="background1"/>
                          <w:sz w:val="80"/>
                          <w:szCs w:val="80"/>
                        </w:rPr>
                      </w:pPr>
                      <w:r w:rsidRPr="004243E4">
                        <w:rPr>
                          <w:rFonts w:ascii="Arial" w:hAnsi="Arial" w:cs="Arial"/>
                          <w:b/>
                          <w:bCs/>
                          <w:color w:val="FFFFFF" w:themeColor="background1"/>
                          <w:sz w:val="80"/>
                          <w:szCs w:val="80"/>
                        </w:rPr>
                        <w:t>Adult Social Care</w:t>
                      </w:r>
                    </w:p>
                    <w:p w:rsidRPr="004243E4" w:rsidR="00880B26" w:rsidP="004243E4" w:rsidRDefault="005C7A1F" w14:paraId="2F22F74C" w14:textId="5949D0E9">
                      <w:pPr>
                        <w:jc w:val="center"/>
                        <w:rPr>
                          <w:rFonts w:ascii="Arial" w:hAnsi="Arial" w:cs="Arial"/>
                          <w:b/>
                          <w:bCs/>
                          <w:color w:val="FFFFFF" w:themeColor="background1"/>
                          <w:sz w:val="80"/>
                          <w:szCs w:val="80"/>
                        </w:rPr>
                      </w:pPr>
                      <w:r>
                        <w:rPr>
                          <w:rFonts w:ascii="Arial" w:hAnsi="Arial" w:cs="Arial"/>
                          <w:b/>
                          <w:bCs/>
                          <w:color w:val="FFFFFF" w:themeColor="background1"/>
                          <w:sz w:val="80"/>
                          <w:szCs w:val="80"/>
                        </w:rPr>
                        <w:t>Gloucestershire Care Market</w:t>
                      </w:r>
                    </w:p>
                    <w:p w:rsidRPr="0093764E" w:rsidR="004243E4" w:rsidRDefault="004243E4" w14:paraId="672A6659" w14:textId="77777777">
                      <w:pPr>
                        <w:rPr>
                          <w:rFonts w:ascii="Arial" w:hAnsi="Arial" w:cs="Arial"/>
                          <w:b/>
                          <w:bCs/>
                          <w:color w:val="FFFFFF" w:themeColor="background1"/>
                          <w:sz w:val="56"/>
                          <w:szCs w:val="56"/>
                        </w:rPr>
                      </w:pPr>
                    </w:p>
                    <w:p w:rsidRPr="004243E4" w:rsidR="009110FE" w:rsidP="004243E4" w:rsidRDefault="005C7A1F" w14:paraId="7F28EA85" w14:textId="30B239BF">
                      <w:pPr>
                        <w:jc w:val="center"/>
                        <w:rPr>
                          <w:rFonts w:ascii="Arial" w:hAnsi="Arial" w:cs="Arial"/>
                          <w:b/>
                          <w:bCs/>
                          <w:color w:val="FFFFFF" w:themeColor="background1"/>
                          <w:sz w:val="52"/>
                          <w:szCs w:val="52"/>
                        </w:rPr>
                      </w:pPr>
                      <w:r>
                        <w:rPr>
                          <w:rFonts w:ascii="Arial" w:hAnsi="Arial" w:cs="Arial"/>
                          <w:b/>
                          <w:bCs/>
                          <w:color w:val="FFFFFF" w:themeColor="background1"/>
                          <w:sz w:val="52"/>
                          <w:szCs w:val="52"/>
                        </w:rPr>
                        <w:t xml:space="preserve">Annual </w:t>
                      </w:r>
                      <w:r w:rsidR="004C13DB">
                        <w:rPr>
                          <w:rFonts w:ascii="Arial" w:hAnsi="Arial" w:cs="Arial"/>
                          <w:b/>
                          <w:bCs/>
                          <w:color w:val="FFFFFF" w:themeColor="background1"/>
                          <w:sz w:val="52"/>
                          <w:szCs w:val="52"/>
                        </w:rPr>
                        <w:t xml:space="preserve">Market </w:t>
                      </w:r>
                      <w:r w:rsidRPr="004243E4" w:rsidR="009110FE">
                        <w:rPr>
                          <w:rFonts w:ascii="Arial" w:hAnsi="Arial" w:cs="Arial"/>
                          <w:b/>
                          <w:bCs/>
                          <w:color w:val="FFFFFF" w:themeColor="background1"/>
                          <w:sz w:val="52"/>
                          <w:szCs w:val="52"/>
                        </w:rPr>
                        <w:t>Quality Report</w:t>
                      </w:r>
                      <w:r w:rsidR="005F3323">
                        <w:rPr>
                          <w:rFonts w:ascii="Arial" w:hAnsi="Arial" w:cs="Arial"/>
                          <w:b/>
                          <w:bCs/>
                          <w:color w:val="FFFFFF" w:themeColor="background1"/>
                          <w:sz w:val="52"/>
                          <w:szCs w:val="52"/>
                        </w:rPr>
                        <w:t xml:space="preserve"> 2025-26</w:t>
                      </w:r>
                    </w:p>
                  </w:txbxContent>
                </v:textbox>
                <w10:wrap anchorx="margin"/>
              </v:shape>
            </w:pict>
          </mc:Fallback>
        </mc:AlternateContent>
      </w:r>
      <w:r w:rsidRPr="00466D0F" w:rsidR="00CE560D">
        <w:rPr>
          <w:rFonts w:cs="Calibri"/>
          <w:noProof/>
          <w:lang w:val="en-GB"/>
        </w:rPr>
        <mc:AlternateContent>
          <mc:Choice Requires="wps">
            <w:drawing>
              <wp:anchor distT="0" distB="0" distL="114300" distR="114300" simplePos="0" relativeHeight="251658240" behindDoc="0" locked="0" layoutInCell="1" allowOverlap="1" wp14:anchorId="3784462C" wp14:editId="59BD3342">
                <wp:simplePos x="0" y="0"/>
                <wp:positionH relativeFrom="page">
                  <wp:align>right</wp:align>
                </wp:positionH>
                <wp:positionV relativeFrom="paragraph">
                  <wp:posOffset>-1199515</wp:posOffset>
                </wp:positionV>
                <wp:extent cx="7734300" cy="10316210"/>
                <wp:effectExtent l="0" t="0" r="19050" b="27940"/>
                <wp:wrapNone/>
                <wp:docPr id="1183498254" name="Rectangle 4"/>
                <wp:cNvGraphicFramePr/>
                <a:graphic xmlns:a="http://schemas.openxmlformats.org/drawingml/2006/main">
                  <a:graphicData uri="http://schemas.microsoft.com/office/word/2010/wordprocessingShape">
                    <wps:wsp>
                      <wps:cNvSpPr/>
                      <wps:spPr>
                        <a:xfrm>
                          <a:off x="0" y="0"/>
                          <a:ext cx="7734300" cy="10316210"/>
                        </a:xfrm>
                        <a:prstGeom prst="rect">
                          <a:avLst/>
                        </a:prstGeom>
                        <a:solidFill>
                          <a:srgbClr val="0054A4"/>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xmlns:w16cei="http://schemas.microsoft.com/office/word/2026/wordml/cei">
            <w:pict w14:anchorId="6294D97D">
              <v:rect id="Rectangle 4" style="position:absolute;margin-left:557.8pt;margin-top:-94.45pt;width:609pt;height:812.3pt;z-index:251658240;visibility:visible;mso-wrap-style:square;mso-height-percent:0;mso-wrap-distance-left:9pt;mso-wrap-distance-top:0;mso-wrap-distance-right:9pt;mso-wrap-distance-bottom:0;mso-position-horizontal:right;mso-position-horizontal-relative:page;mso-position-vertical:absolute;mso-position-vertical-relative:text;mso-height-percent:0;mso-height-relative:margin;v-text-anchor:middle" o:spid="_x0000_s1026" fillcolor="#0054a4" strokecolor="#030e13 [484]" strokeweight="1pt" w14:anchorId="64B8E3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">
                <w10:wrap anchorx="page"/>
              </v:rect>
            </w:pict>
          </mc:Fallback>
        </mc:AlternateContent>
      </w:r>
      <w:r w:rsidRPr="00466D0F" w:rsidR="009E51FB">
        <w:rPr>
          <w:rFonts w:cs="Calibri"/>
          <w:noProof/>
          <w:color w:val="000000" w:themeColor="text1"/>
          <w:lang w:val="en-GB"/>
        </w:rPr>
        <w:drawing>
          <wp:anchor distT="0" distB="0" distL="114300" distR="114300" simplePos="0" relativeHeight="251658243" behindDoc="0" locked="0" layoutInCell="1" allowOverlap="1" wp14:anchorId="50537AEF" wp14:editId="7F625C4E">
            <wp:simplePos x="0" y="0"/>
            <wp:positionH relativeFrom="column">
              <wp:posOffset>3790950</wp:posOffset>
            </wp:positionH>
            <wp:positionV relativeFrom="paragraph">
              <wp:posOffset>8079740</wp:posOffset>
            </wp:positionV>
            <wp:extent cx="2810510" cy="518160"/>
            <wp:effectExtent l="0" t="0" r="8890" b="0"/>
            <wp:wrapSquare wrapText="bothSides"/>
            <wp:docPr id="176992206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10510" cy="518160"/>
                    </a:xfrm>
                    <a:prstGeom prst="rect">
                      <a:avLst/>
                    </a:prstGeom>
                    <a:noFill/>
                  </pic:spPr>
                </pic:pic>
              </a:graphicData>
            </a:graphic>
          </wp:anchor>
        </w:drawing>
      </w:r>
      <w:r w:rsidRPr="00466D0F" w:rsidR="00524296">
        <w:rPr>
          <w:rFonts w:cs="Calibri"/>
          <w:noProof/>
          <w:lang w:val="en-GB"/>
        </w:rPr>
        <mc:AlternateContent>
          <mc:Choice Requires="wpg">
            <w:drawing>
              <wp:anchor distT="0" distB="0" distL="114300" distR="114300" simplePos="0" relativeHeight="251658242" behindDoc="1" locked="0" layoutInCell="1" allowOverlap="1" wp14:anchorId="78E87E3A" wp14:editId="3D7A949A">
                <wp:simplePos x="0" y="0"/>
                <wp:positionH relativeFrom="page">
                  <wp:posOffset>19050</wp:posOffset>
                </wp:positionH>
                <wp:positionV relativeFrom="page">
                  <wp:posOffset>9525</wp:posOffset>
                </wp:positionV>
                <wp:extent cx="2808605" cy="516890"/>
                <wp:effectExtent l="0" t="0" r="0" b="3810"/>
                <wp:wrapNone/>
                <wp:docPr id="1263313943" name="docshapegroup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08605" cy="516890"/>
                          <a:chOff x="6350" y="14890"/>
                          <a:chExt cx="4423" cy="814"/>
                        </a:xfrm>
                      </wpg:grpSpPr>
                      <pic:pic xmlns:pic="http://schemas.openxmlformats.org/drawingml/2006/picture">
                        <pic:nvPicPr>
                          <pic:cNvPr id="269577383" name="docshape35"/>
                          <pic:cNvPicPr>
                            <a:picLocks/>
                          </pic:cNvPicPr>
                        </pic:nvPicPr>
                        <pic:blipFill>
                          <a:blip r:embed="rId12">
                            <a:extLst>
                              <a:ext uri="{28A0092B-C50C-407E-A947-70E740481C1C}">
                                <a14:useLocalDpi xmlns:a14="http://schemas.microsoft.com/office/drawing/2010/main" val="0"/>
                              </a:ext>
                            </a:extLst>
                          </a:blip>
                          <a:srcRect/>
                          <a:stretch>
                            <a:fillRect/>
                          </a:stretch>
                        </pic:blipFill>
                        <pic:spPr bwMode="auto">
                          <a:xfrm>
                            <a:off x="7403" y="14964"/>
                            <a:ext cx="3369" cy="381"/>
                          </a:xfrm>
                          <a:prstGeom prst="rect">
                            <a:avLst/>
                          </a:prstGeom>
                          <a:noFill/>
                          <a:extLst>
                            <a:ext uri="{909E8E84-426E-40DD-AFC4-6F175D3DCCD1}">
                              <a14:hiddenFill xmlns:a14="http://schemas.microsoft.com/office/drawing/2010/main">
                                <a:solidFill>
                                  <a:srgbClr val="FFFFFF"/>
                                </a:solidFill>
                              </a14:hiddenFill>
                            </a:ext>
                          </a:extLst>
                        </pic:spPr>
                      </pic:pic>
                      <wps:wsp>
                        <wps:cNvPr id="1282759313" name="docshape36"/>
                        <wps:cNvSpPr>
                          <a:spLocks/>
                        </wps:cNvSpPr>
                        <wps:spPr bwMode="auto">
                          <a:xfrm>
                            <a:off x="7400" y="15404"/>
                            <a:ext cx="3372" cy="76"/>
                          </a:xfrm>
                          <a:custGeom>
                            <a:avLst/>
                            <a:gdLst>
                              <a:gd name="T0" fmla="+- 0 7400 7400"/>
                              <a:gd name="T1" fmla="*/ T0 w 3372"/>
                              <a:gd name="T2" fmla="+- 0 15404 15404"/>
                              <a:gd name="T3" fmla="*/ 15404 h 76"/>
                              <a:gd name="T4" fmla="+- 0 7434 7400"/>
                              <a:gd name="T5" fmla="*/ T4 w 3372"/>
                              <a:gd name="T6" fmla="+- 0 15479 15404"/>
                              <a:gd name="T7" fmla="*/ 15479 h 76"/>
                              <a:gd name="T8" fmla="+- 0 7502 7400"/>
                              <a:gd name="T9" fmla="*/ T8 w 3372"/>
                              <a:gd name="T10" fmla="+- 0 15404 15404"/>
                              <a:gd name="T11" fmla="*/ 15404 h 76"/>
                              <a:gd name="T12" fmla="+- 0 7468 7400"/>
                              <a:gd name="T13" fmla="*/ T12 w 3372"/>
                              <a:gd name="T14" fmla="+- 0 15479 15404"/>
                              <a:gd name="T15" fmla="*/ 15479 h 76"/>
                              <a:gd name="T16" fmla="+- 0 7502 7400"/>
                              <a:gd name="T17" fmla="*/ T16 w 3372"/>
                              <a:gd name="T18" fmla="+- 0 15404 15404"/>
                              <a:gd name="T19" fmla="*/ 15404 h 76"/>
                              <a:gd name="T20" fmla="+- 0 7535 7400"/>
                              <a:gd name="T21" fmla="*/ T20 w 3372"/>
                              <a:gd name="T22" fmla="+- 0 15404 15404"/>
                              <a:gd name="T23" fmla="*/ 15404 h 76"/>
                              <a:gd name="T24" fmla="+- 0 7603 7400"/>
                              <a:gd name="T25" fmla="*/ T24 w 3372"/>
                              <a:gd name="T26" fmla="+- 0 15479 15404"/>
                              <a:gd name="T27" fmla="*/ 15479 h 76"/>
                              <a:gd name="T28" fmla="+- 0 7704 7400"/>
                              <a:gd name="T29" fmla="*/ T28 w 3372"/>
                              <a:gd name="T30" fmla="+- 0 15404 15404"/>
                              <a:gd name="T31" fmla="*/ 15404 h 76"/>
                              <a:gd name="T32" fmla="+- 0 7636 7400"/>
                              <a:gd name="T33" fmla="*/ T32 w 3372"/>
                              <a:gd name="T34" fmla="+- 0 15479 15404"/>
                              <a:gd name="T35" fmla="*/ 15479 h 76"/>
                              <a:gd name="T36" fmla="+- 0 7704 7400"/>
                              <a:gd name="T37" fmla="*/ T36 w 3372"/>
                              <a:gd name="T38" fmla="+- 0 15404 15404"/>
                              <a:gd name="T39" fmla="*/ 15404 h 76"/>
                              <a:gd name="T40" fmla="+- 0 7737 7400"/>
                              <a:gd name="T41" fmla="*/ T40 w 3372"/>
                              <a:gd name="T42" fmla="+- 0 15404 15404"/>
                              <a:gd name="T43" fmla="*/ 15404 h 76"/>
                              <a:gd name="T44" fmla="+- 0 7839 7400"/>
                              <a:gd name="T45" fmla="*/ T44 w 3372"/>
                              <a:gd name="T46" fmla="+- 0 15479 15404"/>
                              <a:gd name="T47" fmla="*/ 15479 h 76"/>
                              <a:gd name="T48" fmla="+- 0 7974 7400"/>
                              <a:gd name="T49" fmla="*/ T48 w 3372"/>
                              <a:gd name="T50" fmla="+- 0 15404 15404"/>
                              <a:gd name="T51" fmla="*/ 15404 h 76"/>
                              <a:gd name="T52" fmla="+- 0 7872 7400"/>
                              <a:gd name="T53" fmla="*/ T52 w 3372"/>
                              <a:gd name="T54" fmla="+- 0 15479 15404"/>
                              <a:gd name="T55" fmla="*/ 15479 h 76"/>
                              <a:gd name="T56" fmla="+- 0 7974 7400"/>
                              <a:gd name="T57" fmla="*/ T56 w 3372"/>
                              <a:gd name="T58" fmla="+- 0 15404 15404"/>
                              <a:gd name="T59" fmla="*/ 15404 h 76"/>
                              <a:gd name="T60" fmla="+- 0 8007 7400"/>
                              <a:gd name="T61" fmla="*/ T60 w 3372"/>
                              <a:gd name="T62" fmla="+- 0 15404 15404"/>
                              <a:gd name="T63" fmla="*/ 15404 h 76"/>
                              <a:gd name="T64" fmla="+- 0 8142 7400"/>
                              <a:gd name="T65" fmla="*/ T64 w 3372"/>
                              <a:gd name="T66" fmla="+- 0 15479 15404"/>
                              <a:gd name="T67" fmla="*/ 15479 h 76"/>
                              <a:gd name="T68" fmla="+- 0 8311 7400"/>
                              <a:gd name="T69" fmla="*/ T68 w 3372"/>
                              <a:gd name="T70" fmla="+- 0 15404 15404"/>
                              <a:gd name="T71" fmla="*/ 15404 h 76"/>
                              <a:gd name="T72" fmla="+- 0 8176 7400"/>
                              <a:gd name="T73" fmla="*/ T72 w 3372"/>
                              <a:gd name="T74" fmla="+- 0 15479 15404"/>
                              <a:gd name="T75" fmla="*/ 15479 h 76"/>
                              <a:gd name="T76" fmla="+- 0 8311 7400"/>
                              <a:gd name="T77" fmla="*/ T76 w 3372"/>
                              <a:gd name="T78" fmla="+- 0 15404 15404"/>
                              <a:gd name="T79" fmla="*/ 15404 h 76"/>
                              <a:gd name="T80" fmla="+- 0 8344 7400"/>
                              <a:gd name="T81" fmla="*/ T80 w 3372"/>
                              <a:gd name="T82" fmla="+- 0 15404 15404"/>
                              <a:gd name="T83" fmla="*/ 15404 h 76"/>
                              <a:gd name="T84" fmla="+- 0 8513 7400"/>
                              <a:gd name="T85" fmla="*/ T84 w 3372"/>
                              <a:gd name="T86" fmla="+- 0 15479 15404"/>
                              <a:gd name="T87" fmla="*/ 15479 h 76"/>
                              <a:gd name="T88" fmla="+- 0 8715 7400"/>
                              <a:gd name="T89" fmla="*/ T88 w 3372"/>
                              <a:gd name="T90" fmla="+- 0 15404 15404"/>
                              <a:gd name="T91" fmla="*/ 15404 h 76"/>
                              <a:gd name="T92" fmla="+- 0 8547 7400"/>
                              <a:gd name="T93" fmla="*/ T92 w 3372"/>
                              <a:gd name="T94" fmla="+- 0 15479 15404"/>
                              <a:gd name="T95" fmla="*/ 15479 h 76"/>
                              <a:gd name="T96" fmla="+- 0 8715 7400"/>
                              <a:gd name="T97" fmla="*/ T96 w 3372"/>
                              <a:gd name="T98" fmla="+- 0 15404 15404"/>
                              <a:gd name="T99" fmla="*/ 15404 h 76"/>
                              <a:gd name="T100" fmla="+- 0 8748 7400"/>
                              <a:gd name="T101" fmla="*/ T100 w 3372"/>
                              <a:gd name="T102" fmla="+- 0 15404 15404"/>
                              <a:gd name="T103" fmla="*/ 15404 h 76"/>
                              <a:gd name="T104" fmla="+- 0 8951 7400"/>
                              <a:gd name="T105" fmla="*/ T104 w 3372"/>
                              <a:gd name="T106" fmla="+- 0 15479 15404"/>
                              <a:gd name="T107" fmla="*/ 15479 h 76"/>
                              <a:gd name="T108" fmla="+- 0 9187 7400"/>
                              <a:gd name="T109" fmla="*/ T108 w 3372"/>
                              <a:gd name="T110" fmla="+- 0 15404 15404"/>
                              <a:gd name="T111" fmla="*/ 15404 h 76"/>
                              <a:gd name="T112" fmla="+- 0 8985 7400"/>
                              <a:gd name="T113" fmla="*/ T112 w 3372"/>
                              <a:gd name="T114" fmla="+- 0 15479 15404"/>
                              <a:gd name="T115" fmla="*/ 15479 h 76"/>
                              <a:gd name="T116" fmla="+- 0 9187 7400"/>
                              <a:gd name="T117" fmla="*/ T116 w 3372"/>
                              <a:gd name="T118" fmla="+- 0 15404 15404"/>
                              <a:gd name="T119" fmla="*/ 15404 h 76"/>
                              <a:gd name="T120" fmla="+- 0 9221 7400"/>
                              <a:gd name="T121" fmla="*/ T120 w 3372"/>
                              <a:gd name="T122" fmla="+- 0 15404 15404"/>
                              <a:gd name="T123" fmla="*/ 15404 h 76"/>
                              <a:gd name="T124" fmla="+- 0 9457 7400"/>
                              <a:gd name="T125" fmla="*/ T124 w 3372"/>
                              <a:gd name="T126" fmla="+- 0 15479 15404"/>
                              <a:gd name="T127" fmla="*/ 15479 h 76"/>
                              <a:gd name="T128" fmla="+- 0 9727 7400"/>
                              <a:gd name="T129" fmla="*/ T128 w 3372"/>
                              <a:gd name="T130" fmla="+- 0 15404 15404"/>
                              <a:gd name="T131" fmla="*/ 15404 h 76"/>
                              <a:gd name="T132" fmla="+- 0 9490 7400"/>
                              <a:gd name="T133" fmla="*/ T132 w 3372"/>
                              <a:gd name="T134" fmla="+- 0 15479 15404"/>
                              <a:gd name="T135" fmla="*/ 15479 h 76"/>
                              <a:gd name="T136" fmla="+- 0 9727 7400"/>
                              <a:gd name="T137" fmla="*/ T136 w 3372"/>
                              <a:gd name="T138" fmla="+- 0 15404 15404"/>
                              <a:gd name="T139" fmla="*/ 15404 h 76"/>
                              <a:gd name="T140" fmla="+- 0 9760 7400"/>
                              <a:gd name="T141" fmla="*/ T140 w 3372"/>
                              <a:gd name="T142" fmla="+- 0 15404 15404"/>
                              <a:gd name="T143" fmla="*/ 15404 h 76"/>
                              <a:gd name="T144" fmla="+- 0 10097 7400"/>
                              <a:gd name="T145" fmla="*/ T144 w 3372"/>
                              <a:gd name="T146" fmla="+- 0 15479 15404"/>
                              <a:gd name="T147" fmla="*/ 15479 h 76"/>
                              <a:gd name="T148" fmla="+- 0 10772 7400"/>
                              <a:gd name="T149" fmla="*/ T148 w 3372"/>
                              <a:gd name="T150" fmla="+- 0 15404 15404"/>
                              <a:gd name="T151" fmla="*/ 15404 h 76"/>
                              <a:gd name="T152" fmla="+- 0 10131 7400"/>
                              <a:gd name="T153" fmla="*/ T152 w 3372"/>
                              <a:gd name="T154" fmla="+- 0 15479 15404"/>
                              <a:gd name="T155" fmla="*/ 15479 h 76"/>
                              <a:gd name="T156" fmla="+- 0 10772 7400"/>
                              <a:gd name="T157" fmla="*/ T156 w 3372"/>
                              <a:gd name="T158" fmla="+- 0 15404 15404"/>
                              <a:gd name="T159" fmla="*/ 15404 h 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3372" h="76">
                                <a:moveTo>
                                  <a:pt x="34" y="0"/>
                                </a:moveTo>
                                <a:lnTo>
                                  <a:pt x="0" y="0"/>
                                </a:lnTo>
                                <a:lnTo>
                                  <a:pt x="0" y="75"/>
                                </a:lnTo>
                                <a:lnTo>
                                  <a:pt x="34" y="75"/>
                                </a:lnTo>
                                <a:lnTo>
                                  <a:pt x="34" y="0"/>
                                </a:lnTo>
                                <a:close/>
                                <a:moveTo>
                                  <a:pt x="102" y="0"/>
                                </a:moveTo>
                                <a:lnTo>
                                  <a:pt x="68" y="0"/>
                                </a:lnTo>
                                <a:lnTo>
                                  <a:pt x="68" y="75"/>
                                </a:lnTo>
                                <a:lnTo>
                                  <a:pt x="102" y="75"/>
                                </a:lnTo>
                                <a:lnTo>
                                  <a:pt x="102" y="0"/>
                                </a:lnTo>
                                <a:close/>
                                <a:moveTo>
                                  <a:pt x="203" y="0"/>
                                </a:moveTo>
                                <a:lnTo>
                                  <a:pt x="135" y="0"/>
                                </a:lnTo>
                                <a:lnTo>
                                  <a:pt x="135" y="75"/>
                                </a:lnTo>
                                <a:lnTo>
                                  <a:pt x="203" y="75"/>
                                </a:lnTo>
                                <a:lnTo>
                                  <a:pt x="203" y="0"/>
                                </a:lnTo>
                                <a:close/>
                                <a:moveTo>
                                  <a:pt x="304" y="0"/>
                                </a:moveTo>
                                <a:lnTo>
                                  <a:pt x="236" y="0"/>
                                </a:lnTo>
                                <a:lnTo>
                                  <a:pt x="236" y="75"/>
                                </a:lnTo>
                                <a:lnTo>
                                  <a:pt x="304" y="75"/>
                                </a:lnTo>
                                <a:lnTo>
                                  <a:pt x="304" y="0"/>
                                </a:lnTo>
                                <a:close/>
                                <a:moveTo>
                                  <a:pt x="439" y="0"/>
                                </a:moveTo>
                                <a:lnTo>
                                  <a:pt x="337" y="0"/>
                                </a:lnTo>
                                <a:lnTo>
                                  <a:pt x="337" y="75"/>
                                </a:lnTo>
                                <a:lnTo>
                                  <a:pt x="439" y="75"/>
                                </a:lnTo>
                                <a:lnTo>
                                  <a:pt x="439" y="0"/>
                                </a:lnTo>
                                <a:close/>
                                <a:moveTo>
                                  <a:pt x="574" y="0"/>
                                </a:moveTo>
                                <a:lnTo>
                                  <a:pt x="472" y="0"/>
                                </a:lnTo>
                                <a:lnTo>
                                  <a:pt x="472" y="75"/>
                                </a:lnTo>
                                <a:lnTo>
                                  <a:pt x="574" y="75"/>
                                </a:lnTo>
                                <a:lnTo>
                                  <a:pt x="574" y="0"/>
                                </a:lnTo>
                                <a:close/>
                                <a:moveTo>
                                  <a:pt x="742" y="0"/>
                                </a:moveTo>
                                <a:lnTo>
                                  <a:pt x="607" y="0"/>
                                </a:lnTo>
                                <a:lnTo>
                                  <a:pt x="607" y="75"/>
                                </a:lnTo>
                                <a:lnTo>
                                  <a:pt x="742" y="75"/>
                                </a:lnTo>
                                <a:lnTo>
                                  <a:pt x="742" y="0"/>
                                </a:lnTo>
                                <a:close/>
                                <a:moveTo>
                                  <a:pt x="911" y="0"/>
                                </a:moveTo>
                                <a:lnTo>
                                  <a:pt x="776" y="0"/>
                                </a:lnTo>
                                <a:lnTo>
                                  <a:pt x="776" y="75"/>
                                </a:lnTo>
                                <a:lnTo>
                                  <a:pt x="911" y="75"/>
                                </a:lnTo>
                                <a:lnTo>
                                  <a:pt x="911" y="0"/>
                                </a:lnTo>
                                <a:close/>
                                <a:moveTo>
                                  <a:pt x="1113" y="0"/>
                                </a:moveTo>
                                <a:lnTo>
                                  <a:pt x="944" y="0"/>
                                </a:lnTo>
                                <a:lnTo>
                                  <a:pt x="944" y="75"/>
                                </a:lnTo>
                                <a:lnTo>
                                  <a:pt x="1113" y="75"/>
                                </a:lnTo>
                                <a:lnTo>
                                  <a:pt x="1113" y="0"/>
                                </a:lnTo>
                                <a:close/>
                                <a:moveTo>
                                  <a:pt x="1315" y="0"/>
                                </a:moveTo>
                                <a:lnTo>
                                  <a:pt x="1147" y="0"/>
                                </a:lnTo>
                                <a:lnTo>
                                  <a:pt x="1147" y="75"/>
                                </a:lnTo>
                                <a:lnTo>
                                  <a:pt x="1315" y="75"/>
                                </a:lnTo>
                                <a:lnTo>
                                  <a:pt x="1315" y="0"/>
                                </a:lnTo>
                                <a:close/>
                                <a:moveTo>
                                  <a:pt x="1551" y="0"/>
                                </a:moveTo>
                                <a:lnTo>
                                  <a:pt x="1348" y="0"/>
                                </a:lnTo>
                                <a:lnTo>
                                  <a:pt x="1348" y="75"/>
                                </a:lnTo>
                                <a:lnTo>
                                  <a:pt x="1551" y="75"/>
                                </a:lnTo>
                                <a:lnTo>
                                  <a:pt x="1551" y="0"/>
                                </a:lnTo>
                                <a:close/>
                                <a:moveTo>
                                  <a:pt x="1787" y="0"/>
                                </a:moveTo>
                                <a:lnTo>
                                  <a:pt x="1585" y="0"/>
                                </a:lnTo>
                                <a:lnTo>
                                  <a:pt x="1585" y="75"/>
                                </a:lnTo>
                                <a:lnTo>
                                  <a:pt x="1787" y="75"/>
                                </a:lnTo>
                                <a:lnTo>
                                  <a:pt x="1787" y="0"/>
                                </a:lnTo>
                                <a:close/>
                                <a:moveTo>
                                  <a:pt x="2057" y="0"/>
                                </a:moveTo>
                                <a:lnTo>
                                  <a:pt x="1821" y="0"/>
                                </a:lnTo>
                                <a:lnTo>
                                  <a:pt x="1821" y="75"/>
                                </a:lnTo>
                                <a:lnTo>
                                  <a:pt x="2057" y="75"/>
                                </a:lnTo>
                                <a:lnTo>
                                  <a:pt x="2057" y="0"/>
                                </a:lnTo>
                                <a:close/>
                                <a:moveTo>
                                  <a:pt x="2327" y="0"/>
                                </a:moveTo>
                                <a:lnTo>
                                  <a:pt x="2090" y="0"/>
                                </a:lnTo>
                                <a:lnTo>
                                  <a:pt x="2090" y="75"/>
                                </a:lnTo>
                                <a:lnTo>
                                  <a:pt x="2327" y="75"/>
                                </a:lnTo>
                                <a:lnTo>
                                  <a:pt x="2327" y="0"/>
                                </a:lnTo>
                                <a:close/>
                                <a:moveTo>
                                  <a:pt x="2697" y="0"/>
                                </a:moveTo>
                                <a:lnTo>
                                  <a:pt x="2360" y="0"/>
                                </a:lnTo>
                                <a:lnTo>
                                  <a:pt x="2360" y="75"/>
                                </a:lnTo>
                                <a:lnTo>
                                  <a:pt x="2697" y="75"/>
                                </a:lnTo>
                                <a:lnTo>
                                  <a:pt x="2697" y="0"/>
                                </a:lnTo>
                                <a:close/>
                                <a:moveTo>
                                  <a:pt x="3372" y="0"/>
                                </a:moveTo>
                                <a:lnTo>
                                  <a:pt x="2731" y="0"/>
                                </a:lnTo>
                                <a:lnTo>
                                  <a:pt x="2731" y="75"/>
                                </a:lnTo>
                                <a:lnTo>
                                  <a:pt x="3372" y="75"/>
                                </a:lnTo>
                                <a:lnTo>
                                  <a:pt x="337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44486398" name="docshape37"/>
                          <pic:cNvPicPr>
                            <a:picLocks/>
                          </pic:cNvPicPr>
                        </pic:nvPicPr>
                        <pic:blipFill>
                          <a:blip r:embed="rId13">
                            <a:extLst>
                              <a:ext uri="{28A0092B-C50C-407E-A947-70E740481C1C}">
                                <a14:useLocalDpi xmlns:a14="http://schemas.microsoft.com/office/drawing/2010/main" val="0"/>
                              </a:ext>
                            </a:extLst>
                          </a:blip>
                          <a:srcRect/>
                          <a:stretch>
                            <a:fillRect/>
                          </a:stretch>
                        </pic:blipFill>
                        <pic:spPr bwMode="auto">
                          <a:xfrm>
                            <a:off x="6349" y="14889"/>
                            <a:ext cx="987" cy="814"/>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xmlns:w16cei="http://schemas.microsoft.com/office/word/2026/wordml/cei">
            <w:pict w14:anchorId="20B89D7A">
              <v:group id="docshapegroup34" style="position:absolute;margin-left:1.5pt;margin-top:.75pt;width:221.15pt;height:40.7pt;z-index:-251658237;mso-position-horizontal-relative:page;mso-position-vertical-relative:page" coordsize="4423,814" coordorigin="6350,14890" o:spid="_x0000_s1026" w14:anchorId="4E6964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docshape35" style="position:absolute;left:7403;top:14964;width:3369;height:381;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">
                  <v:imagedata o:title="" r:id="rId14"/>
                  <o:lock v:ext="edit" aspectratio="f"/>
                </v:shape>
                <v:shape id="docshape36" style="position:absolute;left:7400;top:15404;width:3372;height:76;visibility:visible;mso-wrap-style:square;v-text-anchor:top" coordsize="3372,76" o:spid="_x0000_s1028" stroked="f" path="m34,l,,,75r34,l34,xm102,l68,r,75l102,75,102,xm203,l135,r,75l203,75,203,xm304,l236,r,75l304,75,304,xm439,l337,r,75l439,75,439,xm574,l472,r,75l574,75,574,xm742,l607,r,75l742,75,742,xm911,l776,r,75l911,75,911,xm1113,l944,r,75l1113,75r,-75xm1315,l1147,r,75l1315,75r,-75xm1551,l1348,r,75l1551,75r,-75xm1787,l1585,r,75l1787,75r,-75xm2057,l1821,r,75l2057,75r,-75xm2327,l2090,r,75l2327,75r,-75xm2697,l2360,r,75l2697,75r,-75xm3372,l2731,r,75l3372,75r,-7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">
                  <v:path arrowok="t" o:connecttype="custom" o:connectlocs="0,15404;34,15479;102,15404;68,15479;102,15404;135,15404;203,15479;304,15404;236,15479;304,15404;337,15404;439,15479;574,15404;472,15479;574,15404;607,15404;742,15479;911,15404;776,15479;911,15404;944,15404;1113,15479;1315,15404;1147,15479;1315,15404;1348,15404;1551,15479;1787,15404;1585,15479;1787,15404;1821,15404;2057,15479;2327,15404;2090,15479;2327,15404;2360,15404;2697,15479;3372,15404;2731,15479;3372,15404" o:connectangles="0,0,0,0,0,0,0,0,0,0,0,0,0,0,0,0,0,0,0,0,0,0,0,0,0,0,0,0,0,0,0,0,0,0,0,0,0,0,0,0"/>
                </v:shape>
                <v:shape id="docshape37" style="position:absolute;left:6349;top:14889;width:987;height:814;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">
                  <v:imagedata o:title="" r:id="rId15"/>
                  <o:lock v:ext="edit" aspectratio="f"/>
                </v:shape>
                <w10:wrap anchorx="page" anchory="page"/>
              </v:group>
            </w:pict>
          </mc:Fallback>
        </mc:AlternateContent>
      </w:r>
      <w:r w:rsidRPr="00466D0F" w:rsidR="001C1116">
        <w:rPr>
          <w:rFonts w:cs="Calibri"/>
          <w:lang w:val="en-GB"/>
        </w:rPr>
        <w:br w:type="page"/>
      </w:r>
    </w:p>
    <w:bookmarkStart w:name="_Toc231656168" w:displacedByCustomXml="next" w:id="0"/>
    <w:bookmarkStart w:name="_Toc231655393" w:displacedByCustomXml="next" w:id="1"/>
    <w:bookmarkStart w:name="_Toc231651802" w:displacedByCustomXml="next" w:id="2"/>
    <w:bookmarkStart w:name="_Toc231651845" w:displacedByCustomXml="next" w:id="3"/>
    <w:bookmarkStart w:name="_Toc231654206" w:displacedByCustomXml="next" w:id="4"/>
    <w:sdt>
      <w:sdtPr>
        <w:id w:val="-810714716"/>
        <w:docPartObj>
          <w:docPartGallery w:val="Table of Contents"/>
          <w:docPartUnique/>
        </w:docPartObj>
        <w:rPr>
          <w:rFonts w:eastAsia="ＭＳ 明朝" w:cs="Arial" w:eastAsiaTheme="minorEastAsia" w:cstheme="minorBidi"/>
          <w:b w:val="0"/>
          <w:bCs w:val="0"/>
          <w:sz w:val="24"/>
          <w:szCs w:val="24"/>
          <w:lang w:val="en-US"/>
        </w:rPr>
      </w:sdtPr>
      <w:sdtEndPr>
        <w:rPr>
          <w:rFonts w:eastAsia="ＭＳ 明朝" w:cs="Arial" w:eastAsiaTheme="minorEastAsia" w:cstheme="minorBidi"/>
          <w:b w:val="0"/>
          <w:bCs w:val="0"/>
          <w:sz w:val="24"/>
          <w:szCs w:val="24"/>
          <w:lang w:val="en-US" w:eastAsia="en-US"/>
        </w:rPr>
      </w:sdtEndPr>
      <w:sdtContent>
        <w:p w:rsidRPr="00466D0F" w:rsidR="00D5117C" w:rsidP="00466D0F" w:rsidRDefault="00354F69" w14:paraId="6A19CA41" w14:textId="77777777">
          <w:pPr>
            <w:pStyle w:val="Heading1"/>
            <w:numPr>
              <w:ilvl w:val="0"/>
              <w:numId w:val="0"/>
            </w:numPr>
            <w:ind w:left="360" w:hanging="360"/>
          </w:pPr>
          <w:r w:rsidRPr="00466D0F">
            <w:t>Contents</w:t>
          </w:r>
          <w:bookmarkEnd w:id="4"/>
          <w:bookmarkEnd w:id="3"/>
          <w:bookmarkEnd w:id="2"/>
          <w:bookmarkEnd w:id="1"/>
          <w:bookmarkEnd w:id="0"/>
        </w:p>
        <w:p w:rsidR="00466D0F" w:rsidP="002C6772" w:rsidRDefault="00466D0F" w14:paraId="659144E6" w14:textId="77777777">
          <w:pPr>
            <w:pStyle w:val="TOC1"/>
          </w:pPr>
        </w:p>
        <w:p w:rsidRPr="002C6772" w:rsidR="00466D0F" w:rsidP="002C6772" w:rsidRDefault="009B7BEC" w14:paraId="7F5A7106" w14:textId="62CF9967">
          <w:pPr>
            <w:pStyle w:val="TOC1"/>
            <w:rPr>
              <w:rStyle w:val="Hyperlink"/>
            </w:rPr>
          </w:pPr>
          <w:r w:rsidRPr="00466D0F">
            <w:rPr>
              <w:rFonts w:eastAsiaTheme="majorEastAsia"/>
              <w:color w:val="0054A4"/>
            </w:rPr>
            <w:fldChar w:fldCharType="begin"/>
          </w:r>
          <w:r w:rsidRPr="00466D0F">
            <w:instrText xml:space="preserve"> TOC \o "1-2" \h \z \u </w:instrText>
          </w:r>
          <w:r w:rsidRPr="00466D0F">
            <w:rPr>
              <w:rFonts w:eastAsiaTheme="majorEastAsia"/>
              <w:color w:val="0054A4"/>
            </w:rPr>
            <w:fldChar w:fldCharType="separate"/>
          </w:r>
          <w:hyperlink w:history="1" w:anchor="_Toc231656169">
            <w:r w:rsidRPr="002C6772" w:rsidR="00466D0F">
              <w:rPr>
                <w:rStyle w:val="Hyperlink"/>
              </w:rPr>
              <w:t>1.</w:t>
            </w:r>
            <w:r w:rsidRPr="002C6772" w:rsidR="00466D0F">
              <w:rPr>
                <w:rFonts w:asciiTheme="minorHAnsi" w:hAnsiTheme="minorHAnsi" w:cstheme="minorBidi"/>
                <w:kern w:val="2"/>
                <w:lang w:eastAsia="en-GB"/>
                <w14:ligatures w14:val="standardContextual"/>
              </w:rPr>
              <w:tab/>
            </w:r>
            <w:r w:rsidRPr="002C6772" w:rsidR="00466D0F">
              <w:rPr>
                <w:rStyle w:val="Hyperlink"/>
              </w:rPr>
              <w:t>Foreword</w:t>
            </w:r>
            <w:r w:rsidRPr="002C6772" w:rsidR="00466D0F">
              <w:rPr>
                <w:webHidden/>
              </w:rPr>
              <w:tab/>
            </w:r>
            <w:r w:rsidRPr="002C6772" w:rsidR="00466D0F">
              <w:rPr>
                <w:webHidden/>
              </w:rPr>
              <w:fldChar w:fldCharType="begin"/>
            </w:r>
            <w:r w:rsidRPr="002C6772" w:rsidR="00466D0F">
              <w:rPr>
                <w:webHidden/>
              </w:rPr>
              <w:instrText xml:space="preserve"> PAGEREF _Toc231656169 \h </w:instrText>
            </w:r>
            <w:r w:rsidRPr="002C6772" w:rsidR="00466D0F">
              <w:rPr>
                <w:webHidden/>
              </w:rPr>
            </w:r>
            <w:r w:rsidRPr="002C6772" w:rsidR="00466D0F">
              <w:rPr>
                <w:webHidden/>
              </w:rPr>
              <w:fldChar w:fldCharType="separate"/>
            </w:r>
            <w:r w:rsidR="00747468">
              <w:rPr>
                <w:webHidden/>
              </w:rPr>
              <w:t>1</w:t>
            </w:r>
            <w:r w:rsidRPr="002C6772" w:rsidR="00466D0F">
              <w:rPr>
                <w:webHidden/>
              </w:rPr>
              <w:fldChar w:fldCharType="end"/>
            </w:r>
          </w:hyperlink>
        </w:p>
        <w:p w:rsidRPr="00011714" w:rsidR="00011714" w:rsidP="00011714" w:rsidRDefault="00011714" w14:paraId="11FBDCEE" w14:textId="77777777">
          <w:pPr>
            <w:rPr>
              <w:noProof/>
              <w:sz w:val="10"/>
              <w:szCs w:val="10"/>
              <w:lang w:val="en-GB" w:eastAsia="en-US"/>
            </w:rPr>
          </w:pPr>
        </w:p>
        <w:p w:rsidRPr="002C6772" w:rsidR="00466D0F" w:rsidP="002C6772" w:rsidRDefault="00466D0F" w14:paraId="4BAEDDF4" w14:textId="2AF5CFCF">
          <w:pPr>
            <w:pStyle w:val="TOC1"/>
            <w:rPr>
              <w:rStyle w:val="Hyperlink"/>
            </w:rPr>
          </w:pPr>
          <w:hyperlink w:history="1" w:anchor="_Toc231656170">
            <w:r w:rsidRPr="002C6772">
              <w:rPr>
                <w:rStyle w:val="Hyperlink"/>
              </w:rPr>
              <w:t>2.</w:t>
            </w:r>
            <w:r w:rsidRPr="002C6772">
              <w:rPr>
                <w:rFonts w:asciiTheme="minorHAnsi" w:hAnsiTheme="minorHAnsi" w:cstheme="minorBidi"/>
                <w:kern w:val="2"/>
                <w:lang w:eastAsia="en-GB"/>
                <w14:ligatures w14:val="standardContextual"/>
              </w:rPr>
              <w:tab/>
            </w:r>
            <w:r w:rsidRPr="002C6772">
              <w:rPr>
                <w:rStyle w:val="Hyperlink"/>
              </w:rPr>
              <w:t>Executive Summary</w:t>
            </w:r>
            <w:r w:rsidRPr="002C6772">
              <w:rPr>
                <w:webHidden/>
              </w:rPr>
              <w:tab/>
            </w:r>
            <w:r w:rsidRPr="002C6772">
              <w:rPr>
                <w:webHidden/>
              </w:rPr>
              <w:fldChar w:fldCharType="begin"/>
            </w:r>
            <w:r w:rsidRPr="002C6772">
              <w:rPr>
                <w:webHidden/>
              </w:rPr>
              <w:instrText xml:space="preserve"> PAGEREF _Toc231656170 \h </w:instrText>
            </w:r>
            <w:r w:rsidRPr="002C6772">
              <w:rPr>
                <w:webHidden/>
              </w:rPr>
            </w:r>
            <w:r w:rsidRPr="002C6772">
              <w:rPr>
                <w:webHidden/>
              </w:rPr>
              <w:fldChar w:fldCharType="separate"/>
            </w:r>
            <w:r w:rsidR="00747468">
              <w:rPr>
                <w:webHidden/>
              </w:rPr>
              <w:t>2</w:t>
            </w:r>
            <w:r w:rsidRPr="002C6772">
              <w:rPr>
                <w:webHidden/>
              </w:rPr>
              <w:fldChar w:fldCharType="end"/>
            </w:r>
          </w:hyperlink>
        </w:p>
        <w:p w:rsidRPr="00011714" w:rsidR="00011714" w:rsidP="00011714" w:rsidRDefault="00011714" w14:paraId="6142E540" w14:textId="77777777">
          <w:pPr>
            <w:rPr>
              <w:noProof/>
              <w:sz w:val="10"/>
              <w:szCs w:val="10"/>
              <w:lang w:val="en-GB" w:eastAsia="en-US"/>
            </w:rPr>
          </w:pPr>
        </w:p>
        <w:p w:rsidR="00466D0F" w:rsidP="002C6772" w:rsidRDefault="00466D0F" w14:paraId="0E85AD57" w14:textId="207557A1">
          <w:pPr>
            <w:pStyle w:val="TOC1"/>
            <w:rPr>
              <w:rFonts w:asciiTheme="minorHAnsi" w:hAnsiTheme="minorHAnsi" w:cstheme="minorBidi"/>
              <w:kern w:val="2"/>
              <w:lang w:eastAsia="en-GB"/>
              <w14:ligatures w14:val="standardContextual"/>
            </w:rPr>
          </w:pPr>
          <w:hyperlink w:history="1" w:anchor="_Toc231656171">
            <w:r w:rsidRPr="006047B5">
              <w:rPr>
                <w:rStyle w:val="Hyperlink"/>
              </w:rPr>
              <w:t>3.</w:t>
            </w:r>
            <w:r>
              <w:rPr>
                <w:rFonts w:asciiTheme="minorHAnsi" w:hAnsiTheme="minorHAnsi" w:cstheme="minorBidi"/>
                <w:kern w:val="2"/>
                <w:lang w:eastAsia="en-GB"/>
                <w14:ligatures w14:val="standardContextual"/>
              </w:rPr>
              <w:tab/>
            </w:r>
            <w:r w:rsidRPr="006047B5">
              <w:rPr>
                <w:rStyle w:val="Hyperlink"/>
              </w:rPr>
              <w:t>Market Overview</w:t>
            </w:r>
            <w:r>
              <w:rPr>
                <w:webHidden/>
              </w:rPr>
              <w:tab/>
            </w:r>
            <w:r>
              <w:rPr>
                <w:webHidden/>
              </w:rPr>
              <w:fldChar w:fldCharType="begin"/>
            </w:r>
            <w:r>
              <w:rPr>
                <w:webHidden/>
              </w:rPr>
              <w:instrText xml:space="preserve"> PAGEREF _Toc231656171 \h </w:instrText>
            </w:r>
            <w:r>
              <w:rPr>
                <w:webHidden/>
              </w:rPr>
            </w:r>
            <w:r>
              <w:rPr>
                <w:webHidden/>
              </w:rPr>
              <w:fldChar w:fldCharType="separate"/>
            </w:r>
            <w:r w:rsidR="00747468">
              <w:rPr>
                <w:webHidden/>
              </w:rPr>
              <w:t>4</w:t>
            </w:r>
            <w:r>
              <w:rPr>
                <w:webHidden/>
              </w:rPr>
              <w:fldChar w:fldCharType="end"/>
            </w:r>
          </w:hyperlink>
        </w:p>
        <w:p w:rsidR="00466D0F" w:rsidP="00466D0F" w:rsidRDefault="00466D0F" w14:paraId="395791F6" w14:textId="7834C963">
          <w:pPr>
            <w:pStyle w:val="TOC2"/>
            <w:tabs>
              <w:tab w:val="left" w:pos="960"/>
              <w:tab w:val="right" w:leader="dot" w:pos="9962"/>
            </w:tabs>
            <w:spacing w:after="0" w:line="240" w:lineRule="auto"/>
            <w:rPr>
              <w:rFonts w:asciiTheme="minorHAnsi" w:hAnsiTheme="minorHAnsi" w:cstheme="minorBidi"/>
              <w:noProof/>
              <w:kern w:val="2"/>
              <w:sz w:val="24"/>
              <w:szCs w:val="24"/>
              <w:lang w:val="en-GB" w:eastAsia="en-GB"/>
              <w14:ligatures w14:val="standardContextual"/>
            </w:rPr>
          </w:pPr>
          <w:hyperlink w:history="1" w:anchor="_Toc231656172">
            <w:r w:rsidRPr="006047B5">
              <w:rPr>
                <w:rStyle w:val="Hyperlink"/>
                <w:bCs/>
                <w:noProof/>
              </w:rPr>
              <w:t>3.1.</w:t>
            </w:r>
            <w:r>
              <w:rPr>
                <w:rFonts w:asciiTheme="minorHAnsi" w:hAnsiTheme="minorHAnsi" w:cstheme="minorBidi"/>
                <w:noProof/>
                <w:kern w:val="2"/>
                <w:sz w:val="24"/>
                <w:szCs w:val="24"/>
                <w:lang w:val="en-GB" w:eastAsia="en-GB"/>
                <w14:ligatures w14:val="standardContextual"/>
              </w:rPr>
              <w:tab/>
            </w:r>
            <w:r w:rsidRPr="006047B5">
              <w:rPr>
                <w:rStyle w:val="Hyperlink"/>
                <w:noProof/>
              </w:rPr>
              <w:t>Population and Demand Context</w:t>
            </w:r>
            <w:r>
              <w:rPr>
                <w:noProof/>
                <w:webHidden/>
              </w:rPr>
              <w:tab/>
            </w:r>
            <w:r>
              <w:rPr>
                <w:noProof/>
                <w:webHidden/>
              </w:rPr>
              <w:fldChar w:fldCharType="begin"/>
            </w:r>
            <w:r>
              <w:rPr>
                <w:noProof/>
                <w:webHidden/>
              </w:rPr>
              <w:instrText xml:space="preserve"> PAGEREF _Toc231656172 \h </w:instrText>
            </w:r>
            <w:r>
              <w:rPr>
                <w:noProof/>
                <w:webHidden/>
              </w:rPr>
            </w:r>
            <w:r>
              <w:rPr>
                <w:noProof/>
                <w:webHidden/>
              </w:rPr>
              <w:fldChar w:fldCharType="separate"/>
            </w:r>
            <w:r w:rsidR="00747468">
              <w:rPr>
                <w:noProof/>
                <w:webHidden/>
              </w:rPr>
              <w:t>4</w:t>
            </w:r>
            <w:r>
              <w:rPr>
                <w:noProof/>
                <w:webHidden/>
              </w:rPr>
              <w:fldChar w:fldCharType="end"/>
            </w:r>
          </w:hyperlink>
        </w:p>
        <w:p w:rsidR="00466D0F" w:rsidP="00466D0F" w:rsidRDefault="00466D0F" w14:paraId="6F875C69" w14:textId="6546C3C0">
          <w:pPr>
            <w:pStyle w:val="TOC2"/>
            <w:tabs>
              <w:tab w:val="left" w:pos="960"/>
              <w:tab w:val="right" w:leader="dot" w:pos="9962"/>
            </w:tabs>
            <w:spacing w:after="0" w:line="240" w:lineRule="auto"/>
            <w:rPr>
              <w:rStyle w:val="Hyperlink"/>
              <w:noProof/>
            </w:rPr>
          </w:pPr>
          <w:hyperlink w:history="1" w:anchor="_Toc231656173">
            <w:r w:rsidRPr="006047B5">
              <w:rPr>
                <w:rStyle w:val="Hyperlink"/>
                <w:bCs/>
                <w:noProof/>
              </w:rPr>
              <w:t>3.2.</w:t>
            </w:r>
            <w:r>
              <w:rPr>
                <w:rFonts w:asciiTheme="minorHAnsi" w:hAnsiTheme="minorHAnsi" w:cstheme="minorBidi"/>
                <w:noProof/>
                <w:kern w:val="2"/>
                <w:sz w:val="24"/>
                <w:szCs w:val="24"/>
                <w:lang w:val="en-GB" w:eastAsia="en-GB"/>
                <w14:ligatures w14:val="standardContextual"/>
              </w:rPr>
              <w:tab/>
            </w:r>
            <w:r w:rsidRPr="006047B5">
              <w:rPr>
                <w:rStyle w:val="Hyperlink"/>
                <w:noProof/>
              </w:rPr>
              <w:t>Market Structure and Supply</w:t>
            </w:r>
            <w:r>
              <w:rPr>
                <w:noProof/>
                <w:webHidden/>
              </w:rPr>
              <w:tab/>
            </w:r>
            <w:r>
              <w:rPr>
                <w:noProof/>
                <w:webHidden/>
              </w:rPr>
              <w:fldChar w:fldCharType="begin"/>
            </w:r>
            <w:r>
              <w:rPr>
                <w:noProof/>
                <w:webHidden/>
              </w:rPr>
              <w:instrText xml:space="preserve"> PAGEREF _Toc231656173 \h </w:instrText>
            </w:r>
            <w:r>
              <w:rPr>
                <w:noProof/>
                <w:webHidden/>
              </w:rPr>
            </w:r>
            <w:r>
              <w:rPr>
                <w:noProof/>
                <w:webHidden/>
              </w:rPr>
              <w:fldChar w:fldCharType="separate"/>
            </w:r>
            <w:r w:rsidR="00747468">
              <w:rPr>
                <w:noProof/>
                <w:webHidden/>
              </w:rPr>
              <w:t>5</w:t>
            </w:r>
            <w:r>
              <w:rPr>
                <w:noProof/>
                <w:webHidden/>
              </w:rPr>
              <w:fldChar w:fldCharType="end"/>
            </w:r>
          </w:hyperlink>
        </w:p>
        <w:p w:rsidRPr="00011714" w:rsidR="00011714" w:rsidP="00011714" w:rsidRDefault="00011714" w14:paraId="640F8CF4" w14:textId="77777777">
          <w:pPr>
            <w:rPr>
              <w:noProof/>
              <w:sz w:val="10"/>
              <w:szCs w:val="10"/>
              <w:lang w:val="en-GB" w:eastAsia="en-US"/>
            </w:rPr>
          </w:pPr>
        </w:p>
        <w:p w:rsidR="00466D0F" w:rsidP="002C6772" w:rsidRDefault="00466D0F" w14:paraId="36F12460" w14:textId="6933D010">
          <w:pPr>
            <w:pStyle w:val="TOC1"/>
            <w:rPr>
              <w:rFonts w:asciiTheme="minorHAnsi" w:hAnsiTheme="minorHAnsi" w:cstheme="minorBidi"/>
              <w:kern w:val="2"/>
              <w:lang w:eastAsia="en-GB"/>
              <w14:ligatures w14:val="standardContextual"/>
            </w:rPr>
          </w:pPr>
          <w:hyperlink w:history="1" w:anchor="_Toc231656174">
            <w:r w:rsidRPr="006047B5">
              <w:rPr>
                <w:rStyle w:val="Hyperlink"/>
              </w:rPr>
              <w:t>4.</w:t>
            </w:r>
            <w:r>
              <w:rPr>
                <w:rFonts w:asciiTheme="minorHAnsi" w:hAnsiTheme="minorHAnsi" w:cstheme="minorBidi"/>
                <w:kern w:val="2"/>
                <w:lang w:eastAsia="en-GB"/>
                <w14:ligatures w14:val="standardContextual"/>
              </w:rPr>
              <w:tab/>
            </w:r>
            <w:r w:rsidRPr="006047B5">
              <w:rPr>
                <w:rStyle w:val="Hyperlink"/>
              </w:rPr>
              <w:t>Workforce</w:t>
            </w:r>
            <w:r>
              <w:rPr>
                <w:webHidden/>
              </w:rPr>
              <w:tab/>
            </w:r>
            <w:r>
              <w:rPr>
                <w:webHidden/>
              </w:rPr>
              <w:fldChar w:fldCharType="begin"/>
            </w:r>
            <w:r>
              <w:rPr>
                <w:webHidden/>
              </w:rPr>
              <w:instrText xml:space="preserve"> PAGEREF _Toc231656174 \h </w:instrText>
            </w:r>
            <w:r>
              <w:rPr>
                <w:webHidden/>
              </w:rPr>
            </w:r>
            <w:r>
              <w:rPr>
                <w:webHidden/>
              </w:rPr>
              <w:fldChar w:fldCharType="separate"/>
            </w:r>
            <w:r w:rsidR="00747468">
              <w:rPr>
                <w:webHidden/>
              </w:rPr>
              <w:t>7</w:t>
            </w:r>
            <w:r>
              <w:rPr>
                <w:webHidden/>
              </w:rPr>
              <w:fldChar w:fldCharType="end"/>
            </w:r>
          </w:hyperlink>
        </w:p>
        <w:p w:rsidR="00466D0F" w:rsidP="00466D0F" w:rsidRDefault="00466D0F" w14:paraId="5C0D5702" w14:textId="432D2772">
          <w:pPr>
            <w:pStyle w:val="TOC2"/>
            <w:tabs>
              <w:tab w:val="left" w:pos="960"/>
              <w:tab w:val="right" w:leader="dot" w:pos="9962"/>
            </w:tabs>
            <w:spacing w:after="0" w:line="240" w:lineRule="auto"/>
            <w:rPr>
              <w:rFonts w:asciiTheme="minorHAnsi" w:hAnsiTheme="minorHAnsi" w:cstheme="minorBidi"/>
              <w:noProof/>
              <w:kern w:val="2"/>
              <w:sz w:val="24"/>
              <w:szCs w:val="24"/>
              <w:lang w:val="en-GB" w:eastAsia="en-GB"/>
              <w14:ligatures w14:val="standardContextual"/>
            </w:rPr>
          </w:pPr>
          <w:hyperlink w:history="1" w:anchor="_Toc231656175">
            <w:r w:rsidRPr="006047B5">
              <w:rPr>
                <w:rStyle w:val="Hyperlink"/>
                <w:bCs/>
                <w:noProof/>
              </w:rPr>
              <w:t>4.1.</w:t>
            </w:r>
            <w:r>
              <w:rPr>
                <w:rFonts w:asciiTheme="minorHAnsi" w:hAnsiTheme="minorHAnsi" w:cstheme="minorBidi"/>
                <w:noProof/>
                <w:kern w:val="2"/>
                <w:sz w:val="24"/>
                <w:szCs w:val="24"/>
                <w:lang w:val="en-GB" w:eastAsia="en-GB"/>
                <w14:ligatures w14:val="standardContextual"/>
              </w:rPr>
              <w:tab/>
            </w:r>
            <w:r w:rsidRPr="006047B5">
              <w:rPr>
                <w:rStyle w:val="Hyperlink"/>
                <w:noProof/>
              </w:rPr>
              <w:t>Workforce Capacity and Sustainability</w:t>
            </w:r>
            <w:r>
              <w:rPr>
                <w:noProof/>
                <w:webHidden/>
              </w:rPr>
              <w:tab/>
            </w:r>
            <w:r>
              <w:rPr>
                <w:noProof/>
                <w:webHidden/>
              </w:rPr>
              <w:fldChar w:fldCharType="begin"/>
            </w:r>
            <w:r>
              <w:rPr>
                <w:noProof/>
                <w:webHidden/>
              </w:rPr>
              <w:instrText xml:space="preserve"> PAGEREF _Toc231656175 \h </w:instrText>
            </w:r>
            <w:r>
              <w:rPr>
                <w:noProof/>
                <w:webHidden/>
              </w:rPr>
            </w:r>
            <w:r>
              <w:rPr>
                <w:noProof/>
                <w:webHidden/>
              </w:rPr>
              <w:fldChar w:fldCharType="separate"/>
            </w:r>
            <w:r w:rsidR="00747468">
              <w:rPr>
                <w:noProof/>
                <w:webHidden/>
              </w:rPr>
              <w:t>7</w:t>
            </w:r>
            <w:r>
              <w:rPr>
                <w:noProof/>
                <w:webHidden/>
              </w:rPr>
              <w:fldChar w:fldCharType="end"/>
            </w:r>
          </w:hyperlink>
        </w:p>
        <w:p w:rsidR="00466D0F" w:rsidP="00466D0F" w:rsidRDefault="00466D0F" w14:paraId="06CFC34B" w14:textId="11563C51">
          <w:pPr>
            <w:pStyle w:val="TOC2"/>
            <w:tabs>
              <w:tab w:val="left" w:pos="960"/>
              <w:tab w:val="right" w:leader="dot" w:pos="9962"/>
            </w:tabs>
            <w:spacing w:after="0" w:line="240" w:lineRule="auto"/>
            <w:rPr>
              <w:rFonts w:asciiTheme="minorHAnsi" w:hAnsiTheme="minorHAnsi" w:cstheme="minorBidi"/>
              <w:noProof/>
              <w:kern w:val="2"/>
              <w:sz w:val="24"/>
              <w:szCs w:val="24"/>
              <w:lang w:val="en-GB" w:eastAsia="en-GB"/>
              <w14:ligatures w14:val="standardContextual"/>
            </w:rPr>
          </w:pPr>
          <w:hyperlink w:history="1" w:anchor="_Toc231656176">
            <w:r w:rsidRPr="006047B5">
              <w:rPr>
                <w:rStyle w:val="Hyperlink"/>
                <w:bCs/>
                <w:noProof/>
              </w:rPr>
              <w:t>4.2.</w:t>
            </w:r>
            <w:r>
              <w:rPr>
                <w:rFonts w:asciiTheme="minorHAnsi" w:hAnsiTheme="minorHAnsi" w:cstheme="minorBidi"/>
                <w:noProof/>
                <w:kern w:val="2"/>
                <w:sz w:val="24"/>
                <w:szCs w:val="24"/>
                <w:lang w:val="en-GB" w:eastAsia="en-GB"/>
                <w14:ligatures w14:val="standardContextual"/>
              </w:rPr>
              <w:tab/>
            </w:r>
            <w:r w:rsidRPr="006047B5">
              <w:rPr>
                <w:rStyle w:val="Hyperlink"/>
                <w:noProof/>
              </w:rPr>
              <w:t>Skills for Care Data</w:t>
            </w:r>
            <w:r>
              <w:rPr>
                <w:noProof/>
                <w:webHidden/>
              </w:rPr>
              <w:tab/>
            </w:r>
            <w:r>
              <w:rPr>
                <w:noProof/>
                <w:webHidden/>
              </w:rPr>
              <w:fldChar w:fldCharType="begin"/>
            </w:r>
            <w:r>
              <w:rPr>
                <w:noProof/>
                <w:webHidden/>
              </w:rPr>
              <w:instrText xml:space="preserve"> PAGEREF _Toc231656176 \h </w:instrText>
            </w:r>
            <w:r>
              <w:rPr>
                <w:noProof/>
                <w:webHidden/>
              </w:rPr>
            </w:r>
            <w:r>
              <w:rPr>
                <w:noProof/>
                <w:webHidden/>
              </w:rPr>
              <w:fldChar w:fldCharType="separate"/>
            </w:r>
            <w:r w:rsidR="00747468">
              <w:rPr>
                <w:noProof/>
                <w:webHidden/>
              </w:rPr>
              <w:t>7</w:t>
            </w:r>
            <w:r>
              <w:rPr>
                <w:noProof/>
                <w:webHidden/>
              </w:rPr>
              <w:fldChar w:fldCharType="end"/>
            </w:r>
          </w:hyperlink>
        </w:p>
        <w:p w:rsidR="00466D0F" w:rsidP="00466D0F" w:rsidRDefault="00466D0F" w14:paraId="6B83C65F" w14:textId="30810C7E">
          <w:pPr>
            <w:pStyle w:val="TOC2"/>
            <w:tabs>
              <w:tab w:val="left" w:pos="960"/>
              <w:tab w:val="right" w:leader="dot" w:pos="9962"/>
            </w:tabs>
            <w:spacing w:after="0" w:line="240" w:lineRule="auto"/>
            <w:rPr>
              <w:rStyle w:val="Hyperlink"/>
              <w:noProof/>
            </w:rPr>
          </w:pPr>
          <w:hyperlink w:history="1" w:anchor="_Toc231656177">
            <w:r w:rsidRPr="006047B5">
              <w:rPr>
                <w:rStyle w:val="Hyperlink"/>
                <w:bCs/>
                <w:noProof/>
              </w:rPr>
              <w:t>4.3.</w:t>
            </w:r>
            <w:r>
              <w:rPr>
                <w:rFonts w:asciiTheme="minorHAnsi" w:hAnsiTheme="minorHAnsi" w:cstheme="minorBidi"/>
                <w:noProof/>
                <w:kern w:val="2"/>
                <w:sz w:val="24"/>
                <w:szCs w:val="24"/>
                <w:lang w:val="en-GB" w:eastAsia="en-GB"/>
                <w14:ligatures w14:val="standardContextual"/>
              </w:rPr>
              <w:tab/>
            </w:r>
            <w:r w:rsidRPr="006047B5">
              <w:rPr>
                <w:rStyle w:val="Hyperlink"/>
                <w:noProof/>
              </w:rPr>
              <w:t>Quarterly self-assessment workforce data</w:t>
            </w:r>
            <w:r>
              <w:rPr>
                <w:noProof/>
                <w:webHidden/>
              </w:rPr>
              <w:tab/>
            </w:r>
            <w:r>
              <w:rPr>
                <w:noProof/>
                <w:webHidden/>
              </w:rPr>
              <w:fldChar w:fldCharType="begin"/>
            </w:r>
            <w:r>
              <w:rPr>
                <w:noProof/>
                <w:webHidden/>
              </w:rPr>
              <w:instrText xml:space="preserve"> PAGEREF _Toc231656177 \h </w:instrText>
            </w:r>
            <w:r>
              <w:rPr>
                <w:noProof/>
                <w:webHidden/>
              </w:rPr>
            </w:r>
            <w:r>
              <w:rPr>
                <w:noProof/>
                <w:webHidden/>
              </w:rPr>
              <w:fldChar w:fldCharType="separate"/>
            </w:r>
            <w:r w:rsidR="00747468">
              <w:rPr>
                <w:noProof/>
                <w:webHidden/>
              </w:rPr>
              <w:t>8</w:t>
            </w:r>
            <w:r>
              <w:rPr>
                <w:noProof/>
                <w:webHidden/>
              </w:rPr>
              <w:fldChar w:fldCharType="end"/>
            </w:r>
          </w:hyperlink>
        </w:p>
        <w:p w:rsidRPr="00011714" w:rsidR="00011714" w:rsidP="00011714" w:rsidRDefault="00011714" w14:paraId="16FFA3BE" w14:textId="77777777">
          <w:pPr>
            <w:rPr>
              <w:noProof/>
              <w:sz w:val="10"/>
              <w:szCs w:val="10"/>
              <w:lang w:val="en-GB" w:eastAsia="en-US"/>
            </w:rPr>
          </w:pPr>
        </w:p>
        <w:p w:rsidR="00466D0F" w:rsidP="002C6772" w:rsidRDefault="00466D0F" w14:paraId="395E1835" w14:textId="79905FBB">
          <w:pPr>
            <w:pStyle w:val="TOC1"/>
            <w:rPr>
              <w:rFonts w:asciiTheme="minorHAnsi" w:hAnsiTheme="minorHAnsi" w:cstheme="minorBidi"/>
              <w:kern w:val="2"/>
              <w:lang w:eastAsia="en-GB"/>
              <w14:ligatures w14:val="standardContextual"/>
            </w:rPr>
          </w:pPr>
          <w:hyperlink w:history="1" w:anchor="_Toc231656178">
            <w:r w:rsidRPr="006047B5">
              <w:rPr>
                <w:rStyle w:val="Hyperlink"/>
              </w:rPr>
              <w:t>5.</w:t>
            </w:r>
            <w:r>
              <w:rPr>
                <w:rFonts w:asciiTheme="minorHAnsi" w:hAnsiTheme="minorHAnsi" w:cstheme="minorBidi"/>
                <w:kern w:val="2"/>
                <w:lang w:eastAsia="en-GB"/>
                <w14:ligatures w14:val="standardContextual"/>
              </w:rPr>
              <w:tab/>
            </w:r>
            <w:r w:rsidRPr="006047B5">
              <w:rPr>
                <w:rStyle w:val="Hyperlink"/>
              </w:rPr>
              <w:t>Market Sufficiency</w:t>
            </w:r>
            <w:r>
              <w:rPr>
                <w:webHidden/>
              </w:rPr>
              <w:tab/>
            </w:r>
            <w:r>
              <w:rPr>
                <w:webHidden/>
              </w:rPr>
              <w:fldChar w:fldCharType="begin"/>
            </w:r>
            <w:r>
              <w:rPr>
                <w:webHidden/>
              </w:rPr>
              <w:instrText xml:space="preserve"> PAGEREF _Toc231656178 \h </w:instrText>
            </w:r>
            <w:r>
              <w:rPr>
                <w:webHidden/>
              </w:rPr>
            </w:r>
            <w:r>
              <w:rPr>
                <w:webHidden/>
              </w:rPr>
              <w:fldChar w:fldCharType="separate"/>
            </w:r>
            <w:r w:rsidR="00747468">
              <w:rPr>
                <w:webHidden/>
              </w:rPr>
              <w:t>9</w:t>
            </w:r>
            <w:r>
              <w:rPr>
                <w:webHidden/>
              </w:rPr>
              <w:fldChar w:fldCharType="end"/>
            </w:r>
          </w:hyperlink>
        </w:p>
        <w:p w:rsidR="00466D0F" w:rsidP="00466D0F" w:rsidRDefault="00466D0F" w14:paraId="69D38018" w14:textId="793B36CE">
          <w:pPr>
            <w:pStyle w:val="TOC2"/>
            <w:tabs>
              <w:tab w:val="left" w:pos="960"/>
              <w:tab w:val="right" w:leader="dot" w:pos="9962"/>
            </w:tabs>
            <w:spacing w:after="0" w:line="240" w:lineRule="auto"/>
            <w:rPr>
              <w:rFonts w:asciiTheme="minorHAnsi" w:hAnsiTheme="minorHAnsi" w:cstheme="minorBidi"/>
              <w:noProof/>
              <w:kern w:val="2"/>
              <w:sz w:val="24"/>
              <w:szCs w:val="24"/>
              <w:lang w:val="en-GB" w:eastAsia="en-GB"/>
              <w14:ligatures w14:val="standardContextual"/>
            </w:rPr>
          </w:pPr>
          <w:hyperlink w:history="1" w:anchor="_Toc231656179">
            <w:r w:rsidRPr="006047B5">
              <w:rPr>
                <w:rStyle w:val="Hyperlink"/>
                <w:bCs/>
                <w:noProof/>
              </w:rPr>
              <w:t>5.1.</w:t>
            </w:r>
            <w:r>
              <w:rPr>
                <w:rFonts w:asciiTheme="minorHAnsi" w:hAnsiTheme="minorHAnsi" w:cstheme="minorBidi"/>
                <w:noProof/>
                <w:kern w:val="2"/>
                <w:sz w:val="24"/>
                <w:szCs w:val="24"/>
                <w:lang w:val="en-GB" w:eastAsia="en-GB"/>
                <w14:ligatures w14:val="standardContextual"/>
              </w:rPr>
              <w:tab/>
            </w:r>
            <w:r w:rsidRPr="006047B5">
              <w:rPr>
                <w:rStyle w:val="Hyperlink"/>
                <w:noProof/>
              </w:rPr>
              <w:t>Definition of Sufficiency</w:t>
            </w:r>
            <w:r>
              <w:rPr>
                <w:noProof/>
                <w:webHidden/>
              </w:rPr>
              <w:tab/>
            </w:r>
            <w:r>
              <w:rPr>
                <w:noProof/>
                <w:webHidden/>
              </w:rPr>
              <w:fldChar w:fldCharType="begin"/>
            </w:r>
            <w:r>
              <w:rPr>
                <w:noProof/>
                <w:webHidden/>
              </w:rPr>
              <w:instrText xml:space="preserve"> PAGEREF _Toc231656179 \h </w:instrText>
            </w:r>
            <w:r>
              <w:rPr>
                <w:noProof/>
                <w:webHidden/>
              </w:rPr>
            </w:r>
            <w:r>
              <w:rPr>
                <w:noProof/>
                <w:webHidden/>
              </w:rPr>
              <w:fldChar w:fldCharType="separate"/>
            </w:r>
            <w:r w:rsidR="00747468">
              <w:rPr>
                <w:noProof/>
                <w:webHidden/>
              </w:rPr>
              <w:t>9</w:t>
            </w:r>
            <w:r>
              <w:rPr>
                <w:noProof/>
                <w:webHidden/>
              </w:rPr>
              <w:fldChar w:fldCharType="end"/>
            </w:r>
          </w:hyperlink>
        </w:p>
        <w:p w:rsidR="00466D0F" w:rsidP="00466D0F" w:rsidRDefault="00466D0F" w14:paraId="71E60690" w14:textId="2E6DCF34">
          <w:pPr>
            <w:pStyle w:val="TOC2"/>
            <w:tabs>
              <w:tab w:val="left" w:pos="960"/>
              <w:tab w:val="right" w:leader="dot" w:pos="9962"/>
            </w:tabs>
            <w:spacing w:after="0" w:line="240" w:lineRule="auto"/>
            <w:rPr>
              <w:rFonts w:asciiTheme="minorHAnsi" w:hAnsiTheme="minorHAnsi" w:cstheme="minorBidi"/>
              <w:noProof/>
              <w:kern w:val="2"/>
              <w:sz w:val="24"/>
              <w:szCs w:val="24"/>
              <w:lang w:val="en-GB" w:eastAsia="en-GB"/>
              <w14:ligatures w14:val="standardContextual"/>
            </w:rPr>
          </w:pPr>
          <w:hyperlink w:history="1" w:anchor="_Toc231656180">
            <w:r w:rsidRPr="006047B5">
              <w:rPr>
                <w:rStyle w:val="Hyperlink"/>
                <w:bCs/>
                <w:noProof/>
              </w:rPr>
              <w:t>5.2.</w:t>
            </w:r>
            <w:r>
              <w:rPr>
                <w:rFonts w:asciiTheme="minorHAnsi" w:hAnsiTheme="minorHAnsi" w:cstheme="minorBidi"/>
                <w:noProof/>
                <w:kern w:val="2"/>
                <w:sz w:val="24"/>
                <w:szCs w:val="24"/>
                <w:lang w:val="en-GB" w:eastAsia="en-GB"/>
                <w14:ligatures w14:val="standardContextual"/>
              </w:rPr>
              <w:tab/>
            </w:r>
            <w:r w:rsidRPr="006047B5">
              <w:rPr>
                <w:rStyle w:val="Hyperlink"/>
                <w:noProof/>
              </w:rPr>
              <w:t>Sufficiency Strengths</w:t>
            </w:r>
            <w:r>
              <w:rPr>
                <w:noProof/>
                <w:webHidden/>
              </w:rPr>
              <w:tab/>
            </w:r>
            <w:r>
              <w:rPr>
                <w:noProof/>
                <w:webHidden/>
              </w:rPr>
              <w:fldChar w:fldCharType="begin"/>
            </w:r>
            <w:r>
              <w:rPr>
                <w:noProof/>
                <w:webHidden/>
              </w:rPr>
              <w:instrText xml:space="preserve"> PAGEREF _Toc231656180 \h </w:instrText>
            </w:r>
            <w:r>
              <w:rPr>
                <w:noProof/>
                <w:webHidden/>
              </w:rPr>
            </w:r>
            <w:r>
              <w:rPr>
                <w:noProof/>
                <w:webHidden/>
              </w:rPr>
              <w:fldChar w:fldCharType="separate"/>
            </w:r>
            <w:r w:rsidR="00747468">
              <w:rPr>
                <w:noProof/>
                <w:webHidden/>
              </w:rPr>
              <w:t>9</w:t>
            </w:r>
            <w:r>
              <w:rPr>
                <w:noProof/>
                <w:webHidden/>
              </w:rPr>
              <w:fldChar w:fldCharType="end"/>
            </w:r>
          </w:hyperlink>
        </w:p>
        <w:p w:rsidR="00466D0F" w:rsidP="00466D0F" w:rsidRDefault="00466D0F" w14:paraId="2096A718" w14:textId="79167216">
          <w:pPr>
            <w:pStyle w:val="TOC2"/>
            <w:tabs>
              <w:tab w:val="left" w:pos="960"/>
              <w:tab w:val="right" w:leader="dot" w:pos="9962"/>
            </w:tabs>
            <w:spacing w:after="0" w:line="240" w:lineRule="auto"/>
            <w:rPr>
              <w:rFonts w:asciiTheme="minorHAnsi" w:hAnsiTheme="minorHAnsi" w:cstheme="minorBidi"/>
              <w:noProof/>
              <w:kern w:val="2"/>
              <w:sz w:val="24"/>
              <w:szCs w:val="24"/>
              <w:lang w:val="en-GB" w:eastAsia="en-GB"/>
              <w14:ligatures w14:val="standardContextual"/>
            </w:rPr>
          </w:pPr>
          <w:hyperlink w:history="1" w:anchor="_Toc231656181">
            <w:r w:rsidRPr="006047B5">
              <w:rPr>
                <w:rStyle w:val="Hyperlink"/>
                <w:bCs/>
                <w:noProof/>
              </w:rPr>
              <w:t>5.3.</w:t>
            </w:r>
            <w:r>
              <w:rPr>
                <w:rFonts w:asciiTheme="minorHAnsi" w:hAnsiTheme="minorHAnsi" w:cstheme="minorBidi"/>
                <w:noProof/>
                <w:kern w:val="2"/>
                <w:sz w:val="24"/>
                <w:szCs w:val="24"/>
                <w:lang w:val="en-GB" w:eastAsia="en-GB"/>
                <w14:ligatures w14:val="standardContextual"/>
              </w:rPr>
              <w:tab/>
            </w:r>
            <w:r w:rsidRPr="006047B5">
              <w:rPr>
                <w:rStyle w:val="Hyperlink"/>
                <w:noProof/>
              </w:rPr>
              <w:t>Sufficiency Pressures and Risks</w:t>
            </w:r>
            <w:r>
              <w:rPr>
                <w:noProof/>
                <w:webHidden/>
              </w:rPr>
              <w:tab/>
            </w:r>
            <w:r>
              <w:rPr>
                <w:noProof/>
                <w:webHidden/>
              </w:rPr>
              <w:fldChar w:fldCharType="begin"/>
            </w:r>
            <w:r>
              <w:rPr>
                <w:noProof/>
                <w:webHidden/>
              </w:rPr>
              <w:instrText xml:space="preserve"> PAGEREF _Toc231656181 \h </w:instrText>
            </w:r>
            <w:r>
              <w:rPr>
                <w:noProof/>
                <w:webHidden/>
              </w:rPr>
            </w:r>
            <w:r>
              <w:rPr>
                <w:noProof/>
                <w:webHidden/>
              </w:rPr>
              <w:fldChar w:fldCharType="separate"/>
            </w:r>
            <w:r w:rsidR="00747468">
              <w:rPr>
                <w:noProof/>
                <w:webHidden/>
              </w:rPr>
              <w:t>10</w:t>
            </w:r>
            <w:r>
              <w:rPr>
                <w:noProof/>
                <w:webHidden/>
              </w:rPr>
              <w:fldChar w:fldCharType="end"/>
            </w:r>
          </w:hyperlink>
        </w:p>
        <w:p w:rsidR="00466D0F" w:rsidP="00466D0F" w:rsidRDefault="00466D0F" w14:paraId="4E950308" w14:textId="0B87CB24">
          <w:pPr>
            <w:pStyle w:val="TOC2"/>
            <w:tabs>
              <w:tab w:val="left" w:pos="960"/>
              <w:tab w:val="right" w:leader="dot" w:pos="9962"/>
            </w:tabs>
            <w:spacing w:after="0" w:line="240" w:lineRule="auto"/>
            <w:rPr>
              <w:rFonts w:asciiTheme="minorHAnsi" w:hAnsiTheme="minorHAnsi" w:cstheme="minorBidi"/>
              <w:noProof/>
              <w:kern w:val="2"/>
              <w:sz w:val="24"/>
              <w:szCs w:val="24"/>
              <w:lang w:val="en-GB" w:eastAsia="en-GB"/>
              <w14:ligatures w14:val="standardContextual"/>
            </w:rPr>
          </w:pPr>
          <w:hyperlink w:history="1" w:anchor="_Toc231656182">
            <w:r w:rsidRPr="006047B5">
              <w:rPr>
                <w:rStyle w:val="Hyperlink"/>
                <w:bCs/>
                <w:noProof/>
              </w:rPr>
              <w:t>5.4.</w:t>
            </w:r>
            <w:r>
              <w:rPr>
                <w:rFonts w:asciiTheme="minorHAnsi" w:hAnsiTheme="minorHAnsi" w:cstheme="minorBidi"/>
                <w:noProof/>
                <w:kern w:val="2"/>
                <w:sz w:val="24"/>
                <w:szCs w:val="24"/>
                <w:lang w:val="en-GB" w:eastAsia="en-GB"/>
                <w14:ligatures w14:val="standardContextual"/>
              </w:rPr>
              <w:tab/>
            </w:r>
            <w:r w:rsidRPr="006047B5">
              <w:rPr>
                <w:rStyle w:val="Hyperlink"/>
                <w:noProof/>
              </w:rPr>
              <w:t>Financial sustainability pressures</w:t>
            </w:r>
            <w:r>
              <w:rPr>
                <w:noProof/>
                <w:webHidden/>
              </w:rPr>
              <w:tab/>
            </w:r>
            <w:r>
              <w:rPr>
                <w:noProof/>
                <w:webHidden/>
              </w:rPr>
              <w:fldChar w:fldCharType="begin"/>
            </w:r>
            <w:r>
              <w:rPr>
                <w:noProof/>
                <w:webHidden/>
              </w:rPr>
              <w:instrText xml:space="preserve"> PAGEREF _Toc231656182 \h </w:instrText>
            </w:r>
            <w:r>
              <w:rPr>
                <w:noProof/>
                <w:webHidden/>
              </w:rPr>
            </w:r>
            <w:r>
              <w:rPr>
                <w:noProof/>
                <w:webHidden/>
              </w:rPr>
              <w:fldChar w:fldCharType="separate"/>
            </w:r>
            <w:r w:rsidR="00747468">
              <w:rPr>
                <w:noProof/>
                <w:webHidden/>
              </w:rPr>
              <w:t>10</w:t>
            </w:r>
            <w:r>
              <w:rPr>
                <w:noProof/>
                <w:webHidden/>
              </w:rPr>
              <w:fldChar w:fldCharType="end"/>
            </w:r>
          </w:hyperlink>
        </w:p>
        <w:p w:rsidR="00466D0F" w:rsidP="00466D0F" w:rsidRDefault="00466D0F" w14:paraId="45A23667" w14:textId="66575683">
          <w:pPr>
            <w:pStyle w:val="TOC2"/>
            <w:tabs>
              <w:tab w:val="left" w:pos="960"/>
              <w:tab w:val="right" w:leader="dot" w:pos="9962"/>
            </w:tabs>
            <w:spacing w:after="0" w:line="240" w:lineRule="auto"/>
            <w:rPr>
              <w:rStyle w:val="Hyperlink"/>
              <w:noProof/>
            </w:rPr>
          </w:pPr>
          <w:hyperlink w:history="1" w:anchor="_Toc231656183">
            <w:r w:rsidRPr="006047B5">
              <w:rPr>
                <w:rStyle w:val="Hyperlink"/>
                <w:bCs/>
                <w:noProof/>
              </w:rPr>
              <w:t>5.5.</w:t>
            </w:r>
            <w:r>
              <w:rPr>
                <w:rFonts w:asciiTheme="minorHAnsi" w:hAnsiTheme="minorHAnsi" w:cstheme="minorBidi"/>
                <w:noProof/>
                <w:kern w:val="2"/>
                <w:sz w:val="24"/>
                <w:szCs w:val="24"/>
                <w:lang w:val="en-GB" w:eastAsia="en-GB"/>
                <w14:ligatures w14:val="standardContextual"/>
              </w:rPr>
              <w:tab/>
            </w:r>
            <w:r w:rsidRPr="006047B5">
              <w:rPr>
                <w:rStyle w:val="Hyperlink"/>
                <w:noProof/>
              </w:rPr>
              <w:t>Overall Sufficiency Position</w:t>
            </w:r>
            <w:r>
              <w:rPr>
                <w:noProof/>
                <w:webHidden/>
              </w:rPr>
              <w:tab/>
            </w:r>
            <w:r>
              <w:rPr>
                <w:noProof/>
                <w:webHidden/>
              </w:rPr>
              <w:fldChar w:fldCharType="begin"/>
            </w:r>
            <w:r>
              <w:rPr>
                <w:noProof/>
                <w:webHidden/>
              </w:rPr>
              <w:instrText xml:space="preserve"> PAGEREF _Toc231656183 \h </w:instrText>
            </w:r>
            <w:r>
              <w:rPr>
                <w:noProof/>
                <w:webHidden/>
              </w:rPr>
            </w:r>
            <w:r>
              <w:rPr>
                <w:noProof/>
                <w:webHidden/>
              </w:rPr>
              <w:fldChar w:fldCharType="separate"/>
            </w:r>
            <w:r w:rsidR="00747468">
              <w:rPr>
                <w:noProof/>
                <w:webHidden/>
              </w:rPr>
              <w:t>11</w:t>
            </w:r>
            <w:r>
              <w:rPr>
                <w:noProof/>
                <w:webHidden/>
              </w:rPr>
              <w:fldChar w:fldCharType="end"/>
            </w:r>
          </w:hyperlink>
        </w:p>
        <w:p w:rsidRPr="00011714" w:rsidR="00011714" w:rsidP="00011714" w:rsidRDefault="00011714" w14:paraId="552A757A" w14:textId="77777777">
          <w:pPr>
            <w:rPr>
              <w:noProof/>
              <w:sz w:val="10"/>
              <w:szCs w:val="10"/>
              <w:lang w:val="en-GB" w:eastAsia="en-US"/>
            </w:rPr>
          </w:pPr>
        </w:p>
        <w:p w:rsidR="00466D0F" w:rsidP="002C6772" w:rsidRDefault="00466D0F" w14:paraId="7B0DE7DA" w14:textId="48DA7002">
          <w:pPr>
            <w:pStyle w:val="TOC1"/>
            <w:rPr>
              <w:rFonts w:asciiTheme="minorHAnsi" w:hAnsiTheme="minorHAnsi" w:cstheme="minorBidi"/>
              <w:kern w:val="2"/>
              <w:lang w:eastAsia="en-GB"/>
              <w14:ligatures w14:val="standardContextual"/>
            </w:rPr>
          </w:pPr>
          <w:hyperlink w:history="1" w:anchor="_Toc231656184">
            <w:r w:rsidRPr="006047B5">
              <w:rPr>
                <w:rStyle w:val="Hyperlink"/>
              </w:rPr>
              <w:t>6.</w:t>
            </w:r>
            <w:r>
              <w:rPr>
                <w:rFonts w:asciiTheme="minorHAnsi" w:hAnsiTheme="minorHAnsi" w:cstheme="minorBidi"/>
                <w:kern w:val="2"/>
                <w:lang w:eastAsia="en-GB"/>
                <w14:ligatures w14:val="standardContextual"/>
              </w:rPr>
              <w:tab/>
            </w:r>
            <w:r w:rsidRPr="006047B5">
              <w:rPr>
                <w:rStyle w:val="Hyperlink"/>
              </w:rPr>
              <w:t>Quality Approach</w:t>
            </w:r>
            <w:r>
              <w:rPr>
                <w:webHidden/>
              </w:rPr>
              <w:tab/>
            </w:r>
            <w:r>
              <w:rPr>
                <w:webHidden/>
              </w:rPr>
              <w:fldChar w:fldCharType="begin"/>
            </w:r>
            <w:r>
              <w:rPr>
                <w:webHidden/>
              </w:rPr>
              <w:instrText xml:space="preserve"> PAGEREF _Toc231656184 \h </w:instrText>
            </w:r>
            <w:r>
              <w:rPr>
                <w:webHidden/>
              </w:rPr>
            </w:r>
            <w:r>
              <w:rPr>
                <w:webHidden/>
              </w:rPr>
              <w:fldChar w:fldCharType="separate"/>
            </w:r>
            <w:r w:rsidR="00747468">
              <w:rPr>
                <w:webHidden/>
              </w:rPr>
              <w:t>12</w:t>
            </w:r>
            <w:r>
              <w:rPr>
                <w:webHidden/>
              </w:rPr>
              <w:fldChar w:fldCharType="end"/>
            </w:r>
          </w:hyperlink>
        </w:p>
        <w:p w:rsidR="00466D0F" w:rsidP="00466D0F" w:rsidRDefault="00466D0F" w14:paraId="5F849F9D" w14:textId="6DBBE7F2">
          <w:pPr>
            <w:pStyle w:val="TOC2"/>
            <w:tabs>
              <w:tab w:val="left" w:pos="960"/>
              <w:tab w:val="right" w:leader="dot" w:pos="9962"/>
            </w:tabs>
            <w:spacing w:after="0" w:line="240" w:lineRule="auto"/>
            <w:rPr>
              <w:rFonts w:asciiTheme="minorHAnsi" w:hAnsiTheme="minorHAnsi" w:cstheme="minorBidi"/>
              <w:noProof/>
              <w:kern w:val="2"/>
              <w:sz w:val="24"/>
              <w:szCs w:val="24"/>
              <w:lang w:val="en-GB" w:eastAsia="en-GB"/>
              <w14:ligatures w14:val="standardContextual"/>
            </w:rPr>
          </w:pPr>
          <w:hyperlink w:history="1" w:anchor="_Toc231656185">
            <w:r w:rsidRPr="006047B5">
              <w:rPr>
                <w:rStyle w:val="Hyperlink"/>
                <w:bCs/>
                <w:noProof/>
              </w:rPr>
              <w:t>6.1.</w:t>
            </w:r>
            <w:r>
              <w:rPr>
                <w:rFonts w:asciiTheme="minorHAnsi" w:hAnsiTheme="minorHAnsi" w:cstheme="minorBidi"/>
                <w:noProof/>
                <w:kern w:val="2"/>
                <w:sz w:val="24"/>
                <w:szCs w:val="24"/>
                <w:lang w:val="en-GB" w:eastAsia="en-GB"/>
                <w14:ligatures w14:val="standardContextual"/>
              </w:rPr>
              <w:tab/>
            </w:r>
            <w:r w:rsidRPr="006047B5">
              <w:rPr>
                <w:rStyle w:val="Hyperlink"/>
                <w:noProof/>
              </w:rPr>
              <w:t>Adult Social Care Commissioning</w:t>
            </w:r>
            <w:r>
              <w:rPr>
                <w:noProof/>
                <w:webHidden/>
              </w:rPr>
              <w:tab/>
            </w:r>
            <w:r>
              <w:rPr>
                <w:noProof/>
                <w:webHidden/>
              </w:rPr>
              <w:fldChar w:fldCharType="begin"/>
            </w:r>
            <w:r>
              <w:rPr>
                <w:noProof/>
                <w:webHidden/>
              </w:rPr>
              <w:instrText xml:space="preserve"> PAGEREF _Toc231656185 \h </w:instrText>
            </w:r>
            <w:r>
              <w:rPr>
                <w:noProof/>
                <w:webHidden/>
              </w:rPr>
            </w:r>
            <w:r>
              <w:rPr>
                <w:noProof/>
                <w:webHidden/>
              </w:rPr>
              <w:fldChar w:fldCharType="separate"/>
            </w:r>
            <w:r w:rsidR="00747468">
              <w:rPr>
                <w:noProof/>
                <w:webHidden/>
              </w:rPr>
              <w:t>12</w:t>
            </w:r>
            <w:r>
              <w:rPr>
                <w:noProof/>
                <w:webHidden/>
              </w:rPr>
              <w:fldChar w:fldCharType="end"/>
            </w:r>
          </w:hyperlink>
        </w:p>
        <w:p w:rsidR="00466D0F" w:rsidP="00466D0F" w:rsidRDefault="00466D0F" w14:paraId="7DEC28F7" w14:textId="03C40A72">
          <w:pPr>
            <w:pStyle w:val="TOC2"/>
            <w:tabs>
              <w:tab w:val="left" w:pos="960"/>
              <w:tab w:val="right" w:leader="dot" w:pos="9962"/>
            </w:tabs>
            <w:spacing w:after="0" w:line="240" w:lineRule="auto"/>
            <w:rPr>
              <w:rFonts w:asciiTheme="minorHAnsi" w:hAnsiTheme="minorHAnsi" w:cstheme="minorBidi"/>
              <w:noProof/>
              <w:kern w:val="2"/>
              <w:sz w:val="24"/>
              <w:szCs w:val="24"/>
              <w:lang w:val="en-GB" w:eastAsia="en-GB"/>
              <w14:ligatures w14:val="standardContextual"/>
            </w:rPr>
          </w:pPr>
          <w:hyperlink w:history="1" w:anchor="_Toc231656186">
            <w:r w:rsidRPr="006047B5">
              <w:rPr>
                <w:rStyle w:val="Hyperlink"/>
                <w:bCs/>
                <w:noProof/>
              </w:rPr>
              <w:t>6.2.</w:t>
            </w:r>
            <w:r>
              <w:rPr>
                <w:rFonts w:asciiTheme="minorHAnsi" w:hAnsiTheme="minorHAnsi" w:cstheme="minorBidi"/>
                <w:noProof/>
                <w:kern w:val="2"/>
                <w:sz w:val="24"/>
                <w:szCs w:val="24"/>
                <w:lang w:val="en-GB" w:eastAsia="en-GB"/>
                <w14:ligatures w14:val="standardContextual"/>
              </w:rPr>
              <w:tab/>
            </w:r>
            <w:r w:rsidRPr="006047B5">
              <w:rPr>
                <w:rStyle w:val="Hyperlink"/>
                <w:noProof/>
              </w:rPr>
              <w:t>Quality Assurance Framework</w:t>
            </w:r>
            <w:r>
              <w:rPr>
                <w:noProof/>
                <w:webHidden/>
              </w:rPr>
              <w:tab/>
            </w:r>
            <w:r>
              <w:rPr>
                <w:noProof/>
                <w:webHidden/>
              </w:rPr>
              <w:fldChar w:fldCharType="begin"/>
            </w:r>
            <w:r>
              <w:rPr>
                <w:noProof/>
                <w:webHidden/>
              </w:rPr>
              <w:instrText xml:space="preserve"> PAGEREF _Toc231656186 \h </w:instrText>
            </w:r>
            <w:r>
              <w:rPr>
                <w:noProof/>
                <w:webHidden/>
              </w:rPr>
            </w:r>
            <w:r>
              <w:rPr>
                <w:noProof/>
                <w:webHidden/>
              </w:rPr>
              <w:fldChar w:fldCharType="separate"/>
            </w:r>
            <w:r w:rsidR="00747468">
              <w:rPr>
                <w:noProof/>
                <w:webHidden/>
              </w:rPr>
              <w:t>12</w:t>
            </w:r>
            <w:r>
              <w:rPr>
                <w:noProof/>
                <w:webHidden/>
              </w:rPr>
              <w:fldChar w:fldCharType="end"/>
            </w:r>
          </w:hyperlink>
        </w:p>
        <w:p w:rsidR="00466D0F" w:rsidP="00466D0F" w:rsidRDefault="00466D0F" w14:paraId="67EC9140" w14:textId="09460440">
          <w:pPr>
            <w:pStyle w:val="TOC2"/>
            <w:tabs>
              <w:tab w:val="right" w:leader="dot" w:pos="9962"/>
            </w:tabs>
            <w:spacing w:after="0" w:line="240" w:lineRule="auto"/>
            <w:rPr>
              <w:rFonts w:asciiTheme="minorHAnsi" w:hAnsiTheme="minorHAnsi" w:cstheme="minorBidi"/>
              <w:noProof/>
              <w:kern w:val="2"/>
              <w:sz w:val="24"/>
              <w:szCs w:val="24"/>
              <w:lang w:val="en-GB" w:eastAsia="en-GB"/>
              <w14:ligatures w14:val="standardContextual"/>
            </w:rPr>
          </w:pPr>
          <w:hyperlink w:history="1" w:anchor="_Toc231656187">
            <w:r w:rsidRPr="006047B5">
              <w:rPr>
                <w:rStyle w:val="Hyperlink"/>
                <w:noProof/>
              </w:rPr>
              <w:t>6.3.      Expert by Experience Quality Assurance Service Activity</w:t>
            </w:r>
            <w:r>
              <w:rPr>
                <w:noProof/>
                <w:webHidden/>
              </w:rPr>
              <w:tab/>
            </w:r>
            <w:r>
              <w:rPr>
                <w:noProof/>
                <w:webHidden/>
              </w:rPr>
              <w:fldChar w:fldCharType="begin"/>
            </w:r>
            <w:r>
              <w:rPr>
                <w:noProof/>
                <w:webHidden/>
              </w:rPr>
              <w:instrText xml:space="preserve"> PAGEREF _Toc231656187 \h </w:instrText>
            </w:r>
            <w:r>
              <w:rPr>
                <w:noProof/>
                <w:webHidden/>
              </w:rPr>
            </w:r>
            <w:r>
              <w:rPr>
                <w:noProof/>
                <w:webHidden/>
              </w:rPr>
              <w:fldChar w:fldCharType="separate"/>
            </w:r>
            <w:r w:rsidR="00747468">
              <w:rPr>
                <w:noProof/>
                <w:webHidden/>
              </w:rPr>
              <w:t>13</w:t>
            </w:r>
            <w:r>
              <w:rPr>
                <w:noProof/>
                <w:webHidden/>
              </w:rPr>
              <w:fldChar w:fldCharType="end"/>
            </w:r>
          </w:hyperlink>
        </w:p>
        <w:p w:rsidR="00466D0F" w:rsidP="00466D0F" w:rsidRDefault="00466D0F" w14:paraId="798D3876" w14:textId="37360B37">
          <w:pPr>
            <w:pStyle w:val="TOC2"/>
            <w:tabs>
              <w:tab w:val="left" w:pos="960"/>
              <w:tab w:val="right" w:leader="dot" w:pos="9962"/>
            </w:tabs>
            <w:spacing w:after="0" w:line="240" w:lineRule="auto"/>
            <w:rPr>
              <w:rFonts w:asciiTheme="minorHAnsi" w:hAnsiTheme="minorHAnsi" w:cstheme="minorBidi"/>
              <w:noProof/>
              <w:kern w:val="2"/>
              <w:sz w:val="24"/>
              <w:szCs w:val="24"/>
              <w:lang w:val="en-GB" w:eastAsia="en-GB"/>
              <w14:ligatures w14:val="standardContextual"/>
            </w:rPr>
          </w:pPr>
          <w:hyperlink w:history="1" w:anchor="_Toc231656188">
            <w:r w:rsidRPr="006047B5">
              <w:rPr>
                <w:rStyle w:val="Hyperlink"/>
                <w:bCs/>
                <w:noProof/>
              </w:rPr>
              <w:t>6.3.</w:t>
            </w:r>
            <w:r>
              <w:rPr>
                <w:rFonts w:asciiTheme="minorHAnsi" w:hAnsiTheme="minorHAnsi" w:cstheme="minorBidi"/>
                <w:noProof/>
                <w:kern w:val="2"/>
                <w:sz w:val="24"/>
                <w:szCs w:val="24"/>
                <w:lang w:val="en-GB" w:eastAsia="en-GB"/>
                <w14:ligatures w14:val="standardContextual"/>
              </w:rPr>
              <w:tab/>
            </w:r>
            <w:r w:rsidRPr="006047B5">
              <w:rPr>
                <w:rStyle w:val="Hyperlink"/>
                <w:noProof/>
              </w:rPr>
              <w:t>ASC Quality Activity</w:t>
            </w:r>
            <w:r>
              <w:rPr>
                <w:noProof/>
                <w:webHidden/>
              </w:rPr>
              <w:tab/>
            </w:r>
            <w:r>
              <w:rPr>
                <w:noProof/>
                <w:webHidden/>
              </w:rPr>
              <w:fldChar w:fldCharType="begin"/>
            </w:r>
            <w:r>
              <w:rPr>
                <w:noProof/>
                <w:webHidden/>
              </w:rPr>
              <w:instrText xml:space="preserve"> PAGEREF _Toc231656188 \h </w:instrText>
            </w:r>
            <w:r>
              <w:rPr>
                <w:noProof/>
                <w:webHidden/>
              </w:rPr>
            </w:r>
            <w:r>
              <w:rPr>
                <w:noProof/>
                <w:webHidden/>
              </w:rPr>
              <w:fldChar w:fldCharType="separate"/>
            </w:r>
            <w:r w:rsidR="00747468">
              <w:rPr>
                <w:noProof/>
                <w:webHidden/>
              </w:rPr>
              <w:t>14</w:t>
            </w:r>
            <w:r>
              <w:rPr>
                <w:noProof/>
                <w:webHidden/>
              </w:rPr>
              <w:fldChar w:fldCharType="end"/>
            </w:r>
          </w:hyperlink>
        </w:p>
        <w:p w:rsidR="00466D0F" w:rsidP="00466D0F" w:rsidRDefault="00466D0F" w14:paraId="39BBFC81" w14:textId="07CA6818">
          <w:pPr>
            <w:pStyle w:val="TOC2"/>
            <w:tabs>
              <w:tab w:val="left" w:pos="960"/>
              <w:tab w:val="right" w:leader="dot" w:pos="9962"/>
            </w:tabs>
            <w:spacing w:after="0" w:line="240" w:lineRule="auto"/>
            <w:rPr>
              <w:rStyle w:val="Hyperlink"/>
              <w:noProof/>
            </w:rPr>
          </w:pPr>
          <w:hyperlink w:history="1" w:anchor="_Toc231656189">
            <w:r w:rsidRPr="006047B5">
              <w:rPr>
                <w:rStyle w:val="Hyperlink"/>
                <w:bCs/>
                <w:noProof/>
              </w:rPr>
              <w:t>6.4.</w:t>
            </w:r>
            <w:r>
              <w:rPr>
                <w:rFonts w:asciiTheme="minorHAnsi" w:hAnsiTheme="minorHAnsi" w:cstheme="minorBidi"/>
                <w:noProof/>
                <w:kern w:val="2"/>
                <w:sz w:val="24"/>
                <w:szCs w:val="24"/>
                <w:lang w:val="en-GB" w:eastAsia="en-GB"/>
                <w14:ligatures w14:val="standardContextual"/>
              </w:rPr>
              <w:tab/>
            </w:r>
            <w:r w:rsidRPr="006047B5">
              <w:rPr>
                <w:rStyle w:val="Hyperlink"/>
                <w:noProof/>
              </w:rPr>
              <w:t>Quality Assurance Framework Domains</w:t>
            </w:r>
            <w:r>
              <w:rPr>
                <w:noProof/>
                <w:webHidden/>
              </w:rPr>
              <w:tab/>
            </w:r>
            <w:r>
              <w:rPr>
                <w:noProof/>
                <w:webHidden/>
              </w:rPr>
              <w:fldChar w:fldCharType="begin"/>
            </w:r>
            <w:r>
              <w:rPr>
                <w:noProof/>
                <w:webHidden/>
              </w:rPr>
              <w:instrText xml:space="preserve"> PAGEREF _Toc231656189 \h </w:instrText>
            </w:r>
            <w:r>
              <w:rPr>
                <w:noProof/>
                <w:webHidden/>
              </w:rPr>
            </w:r>
            <w:r>
              <w:rPr>
                <w:noProof/>
                <w:webHidden/>
              </w:rPr>
              <w:fldChar w:fldCharType="separate"/>
            </w:r>
            <w:r w:rsidR="00747468">
              <w:rPr>
                <w:noProof/>
                <w:webHidden/>
              </w:rPr>
              <w:t>15</w:t>
            </w:r>
            <w:r>
              <w:rPr>
                <w:noProof/>
                <w:webHidden/>
              </w:rPr>
              <w:fldChar w:fldCharType="end"/>
            </w:r>
          </w:hyperlink>
        </w:p>
        <w:p w:rsidRPr="00011714" w:rsidR="00011714" w:rsidP="00011714" w:rsidRDefault="00011714" w14:paraId="08BA738F" w14:textId="77777777">
          <w:pPr>
            <w:rPr>
              <w:noProof/>
              <w:sz w:val="10"/>
              <w:szCs w:val="10"/>
              <w:lang w:val="en-GB" w:eastAsia="en-US"/>
            </w:rPr>
          </w:pPr>
        </w:p>
        <w:p w:rsidR="00466D0F" w:rsidP="002C6772" w:rsidRDefault="00466D0F" w14:paraId="7BD2C198" w14:textId="00886D81">
          <w:pPr>
            <w:pStyle w:val="TOC1"/>
            <w:rPr>
              <w:rFonts w:asciiTheme="minorHAnsi" w:hAnsiTheme="minorHAnsi" w:cstheme="minorBidi"/>
              <w:kern w:val="2"/>
              <w:lang w:eastAsia="en-GB"/>
              <w14:ligatures w14:val="standardContextual"/>
            </w:rPr>
          </w:pPr>
          <w:hyperlink w:history="1" w:anchor="_Toc231656190">
            <w:r w:rsidRPr="006047B5">
              <w:rPr>
                <w:rStyle w:val="Hyperlink"/>
              </w:rPr>
              <w:t>7.</w:t>
            </w:r>
            <w:r>
              <w:rPr>
                <w:rFonts w:asciiTheme="minorHAnsi" w:hAnsiTheme="minorHAnsi" w:cstheme="minorBidi"/>
                <w:kern w:val="2"/>
                <w:lang w:eastAsia="en-GB"/>
                <w14:ligatures w14:val="standardContextual"/>
              </w:rPr>
              <w:tab/>
            </w:r>
            <w:r w:rsidRPr="006047B5">
              <w:rPr>
                <w:rStyle w:val="Hyperlink"/>
              </w:rPr>
              <w:t>Quality Landscape</w:t>
            </w:r>
            <w:r>
              <w:rPr>
                <w:webHidden/>
              </w:rPr>
              <w:tab/>
            </w:r>
            <w:r>
              <w:rPr>
                <w:webHidden/>
              </w:rPr>
              <w:fldChar w:fldCharType="begin"/>
            </w:r>
            <w:r>
              <w:rPr>
                <w:webHidden/>
              </w:rPr>
              <w:instrText xml:space="preserve"> PAGEREF _Toc231656190 \h </w:instrText>
            </w:r>
            <w:r>
              <w:rPr>
                <w:webHidden/>
              </w:rPr>
            </w:r>
            <w:r>
              <w:rPr>
                <w:webHidden/>
              </w:rPr>
              <w:fldChar w:fldCharType="separate"/>
            </w:r>
            <w:r w:rsidR="00747468">
              <w:rPr>
                <w:webHidden/>
              </w:rPr>
              <w:t>16</w:t>
            </w:r>
            <w:r>
              <w:rPr>
                <w:webHidden/>
              </w:rPr>
              <w:fldChar w:fldCharType="end"/>
            </w:r>
          </w:hyperlink>
        </w:p>
        <w:p w:rsidR="00466D0F" w:rsidP="00466D0F" w:rsidRDefault="00466D0F" w14:paraId="5F59D12A" w14:textId="2BF0EA63">
          <w:pPr>
            <w:pStyle w:val="TOC2"/>
            <w:tabs>
              <w:tab w:val="left" w:pos="960"/>
              <w:tab w:val="right" w:leader="dot" w:pos="9962"/>
            </w:tabs>
            <w:spacing w:after="0" w:line="240" w:lineRule="auto"/>
            <w:rPr>
              <w:rFonts w:asciiTheme="minorHAnsi" w:hAnsiTheme="minorHAnsi" w:cstheme="minorBidi"/>
              <w:noProof/>
              <w:kern w:val="2"/>
              <w:sz w:val="24"/>
              <w:szCs w:val="24"/>
              <w:lang w:val="en-GB" w:eastAsia="en-GB"/>
              <w14:ligatures w14:val="standardContextual"/>
            </w:rPr>
          </w:pPr>
          <w:hyperlink w:history="1" w:anchor="_Toc231656191">
            <w:r w:rsidRPr="006047B5">
              <w:rPr>
                <w:rStyle w:val="Hyperlink"/>
                <w:bCs/>
                <w:noProof/>
              </w:rPr>
              <w:t>7.1.</w:t>
            </w:r>
            <w:r>
              <w:rPr>
                <w:rFonts w:asciiTheme="minorHAnsi" w:hAnsiTheme="minorHAnsi" w:cstheme="minorBidi"/>
                <w:noProof/>
                <w:kern w:val="2"/>
                <w:sz w:val="24"/>
                <w:szCs w:val="24"/>
                <w:lang w:val="en-GB" w:eastAsia="en-GB"/>
                <w14:ligatures w14:val="standardContextual"/>
              </w:rPr>
              <w:tab/>
            </w:r>
            <w:r w:rsidRPr="006047B5">
              <w:rPr>
                <w:rStyle w:val="Hyperlink"/>
                <w:noProof/>
              </w:rPr>
              <w:t>Care Quality Commission (CQC) Data</w:t>
            </w:r>
            <w:r>
              <w:rPr>
                <w:noProof/>
                <w:webHidden/>
              </w:rPr>
              <w:tab/>
            </w:r>
            <w:r>
              <w:rPr>
                <w:noProof/>
                <w:webHidden/>
              </w:rPr>
              <w:fldChar w:fldCharType="begin"/>
            </w:r>
            <w:r>
              <w:rPr>
                <w:noProof/>
                <w:webHidden/>
              </w:rPr>
              <w:instrText xml:space="preserve"> PAGEREF _Toc231656191 \h </w:instrText>
            </w:r>
            <w:r>
              <w:rPr>
                <w:noProof/>
                <w:webHidden/>
              </w:rPr>
            </w:r>
            <w:r>
              <w:rPr>
                <w:noProof/>
                <w:webHidden/>
              </w:rPr>
              <w:fldChar w:fldCharType="separate"/>
            </w:r>
            <w:r w:rsidR="00747468">
              <w:rPr>
                <w:noProof/>
                <w:webHidden/>
              </w:rPr>
              <w:t>16</w:t>
            </w:r>
            <w:r>
              <w:rPr>
                <w:noProof/>
                <w:webHidden/>
              </w:rPr>
              <w:fldChar w:fldCharType="end"/>
            </w:r>
          </w:hyperlink>
        </w:p>
        <w:p w:rsidR="00466D0F" w:rsidP="00466D0F" w:rsidRDefault="00466D0F" w14:paraId="13BA164C" w14:textId="7F3FBA0F">
          <w:pPr>
            <w:pStyle w:val="TOC2"/>
            <w:tabs>
              <w:tab w:val="left" w:pos="960"/>
              <w:tab w:val="right" w:leader="dot" w:pos="9962"/>
            </w:tabs>
            <w:spacing w:after="0" w:line="240" w:lineRule="auto"/>
            <w:rPr>
              <w:rFonts w:asciiTheme="minorHAnsi" w:hAnsiTheme="minorHAnsi" w:cstheme="minorBidi"/>
              <w:noProof/>
              <w:kern w:val="2"/>
              <w:sz w:val="24"/>
              <w:szCs w:val="24"/>
              <w:lang w:val="en-GB" w:eastAsia="en-GB"/>
              <w14:ligatures w14:val="standardContextual"/>
            </w:rPr>
          </w:pPr>
          <w:hyperlink w:history="1" w:anchor="_Toc231656192">
            <w:r w:rsidRPr="006047B5">
              <w:rPr>
                <w:rStyle w:val="Hyperlink"/>
                <w:bCs/>
                <w:noProof/>
              </w:rPr>
              <w:t>7.2.</w:t>
            </w:r>
            <w:r>
              <w:rPr>
                <w:rFonts w:asciiTheme="minorHAnsi" w:hAnsiTheme="minorHAnsi" w:cstheme="minorBidi"/>
                <w:noProof/>
                <w:kern w:val="2"/>
                <w:sz w:val="24"/>
                <w:szCs w:val="24"/>
                <w:lang w:val="en-GB" w:eastAsia="en-GB"/>
                <w14:ligatures w14:val="standardContextual"/>
              </w:rPr>
              <w:tab/>
            </w:r>
            <w:r w:rsidRPr="006047B5">
              <w:rPr>
                <w:rStyle w:val="Hyperlink"/>
                <w:noProof/>
              </w:rPr>
              <w:t>GCC Quality Assurance Data</w:t>
            </w:r>
            <w:r>
              <w:rPr>
                <w:noProof/>
                <w:webHidden/>
              </w:rPr>
              <w:tab/>
            </w:r>
            <w:r>
              <w:rPr>
                <w:noProof/>
                <w:webHidden/>
              </w:rPr>
              <w:fldChar w:fldCharType="begin"/>
            </w:r>
            <w:r>
              <w:rPr>
                <w:noProof/>
                <w:webHidden/>
              </w:rPr>
              <w:instrText xml:space="preserve"> PAGEREF _Toc231656192 \h </w:instrText>
            </w:r>
            <w:r>
              <w:rPr>
                <w:noProof/>
                <w:webHidden/>
              </w:rPr>
            </w:r>
            <w:r>
              <w:rPr>
                <w:noProof/>
                <w:webHidden/>
              </w:rPr>
              <w:fldChar w:fldCharType="separate"/>
            </w:r>
            <w:r w:rsidR="00747468">
              <w:rPr>
                <w:noProof/>
                <w:webHidden/>
              </w:rPr>
              <w:t>16</w:t>
            </w:r>
            <w:r>
              <w:rPr>
                <w:noProof/>
                <w:webHidden/>
              </w:rPr>
              <w:fldChar w:fldCharType="end"/>
            </w:r>
          </w:hyperlink>
        </w:p>
        <w:p w:rsidR="00466D0F" w:rsidP="00466D0F" w:rsidRDefault="00466D0F" w14:paraId="64F61382" w14:textId="6B7C46D5">
          <w:pPr>
            <w:pStyle w:val="TOC2"/>
            <w:tabs>
              <w:tab w:val="left" w:pos="960"/>
              <w:tab w:val="right" w:leader="dot" w:pos="9962"/>
            </w:tabs>
            <w:spacing w:after="0" w:line="240" w:lineRule="auto"/>
            <w:rPr>
              <w:rFonts w:asciiTheme="minorHAnsi" w:hAnsiTheme="minorHAnsi" w:cstheme="minorBidi"/>
              <w:noProof/>
              <w:kern w:val="2"/>
              <w:sz w:val="24"/>
              <w:szCs w:val="24"/>
              <w:lang w:val="en-GB" w:eastAsia="en-GB"/>
              <w14:ligatures w14:val="standardContextual"/>
            </w:rPr>
          </w:pPr>
          <w:hyperlink w:history="1" w:anchor="_Toc231656193">
            <w:r w:rsidRPr="006047B5">
              <w:rPr>
                <w:rStyle w:val="Hyperlink"/>
                <w:bCs/>
                <w:noProof/>
              </w:rPr>
              <w:t>7.3.</w:t>
            </w:r>
            <w:r>
              <w:rPr>
                <w:rFonts w:asciiTheme="minorHAnsi" w:hAnsiTheme="minorHAnsi" w:cstheme="minorBidi"/>
                <w:noProof/>
                <w:kern w:val="2"/>
                <w:sz w:val="24"/>
                <w:szCs w:val="24"/>
                <w:lang w:val="en-GB" w:eastAsia="en-GB"/>
                <w14:ligatures w14:val="standardContextual"/>
              </w:rPr>
              <w:tab/>
            </w:r>
            <w:r w:rsidRPr="006047B5">
              <w:rPr>
                <w:rStyle w:val="Hyperlink"/>
                <w:noProof/>
              </w:rPr>
              <w:t>Providers of Concern and Escalations</w:t>
            </w:r>
            <w:r>
              <w:rPr>
                <w:noProof/>
                <w:webHidden/>
              </w:rPr>
              <w:tab/>
            </w:r>
            <w:r>
              <w:rPr>
                <w:noProof/>
                <w:webHidden/>
              </w:rPr>
              <w:fldChar w:fldCharType="begin"/>
            </w:r>
            <w:r>
              <w:rPr>
                <w:noProof/>
                <w:webHidden/>
              </w:rPr>
              <w:instrText xml:space="preserve"> PAGEREF _Toc231656193 \h </w:instrText>
            </w:r>
            <w:r>
              <w:rPr>
                <w:noProof/>
                <w:webHidden/>
              </w:rPr>
            </w:r>
            <w:r>
              <w:rPr>
                <w:noProof/>
                <w:webHidden/>
              </w:rPr>
              <w:fldChar w:fldCharType="separate"/>
            </w:r>
            <w:r w:rsidR="00747468">
              <w:rPr>
                <w:noProof/>
                <w:webHidden/>
              </w:rPr>
              <w:t>16</w:t>
            </w:r>
            <w:r>
              <w:rPr>
                <w:noProof/>
                <w:webHidden/>
              </w:rPr>
              <w:fldChar w:fldCharType="end"/>
            </w:r>
          </w:hyperlink>
        </w:p>
        <w:p w:rsidR="00466D0F" w:rsidP="00466D0F" w:rsidRDefault="00466D0F" w14:paraId="4F576161" w14:textId="0280A780">
          <w:pPr>
            <w:pStyle w:val="TOC2"/>
            <w:tabs>
              <w:tab w:val="left" w:pos="960"/>
              <w:tab w:val="right" w:leader="dot" w:pos="9962"/>
            </w:tabs>
            <w:spacing w:after="0" w:line="240" w:lineRule="auto"/>
            <w:rPr>
              <w:rStyle w:val="Hyperlink"/>
              <w:noProof/>
            </w:rPr>
          </w:pPr>
          <w:hyperlink w:history="1" w:anchor="_Toc231656194">
            <w:r w:rsidRPr="006047B5">
              <w:rPr>
                <w:rStyle w:val="Hyperlink"/>
                <w:bCs/>
                <w:noProof/>
              </w:rPr>
              <w:t>7.4.</w:t>
            </w:r>
            <w:r>
              <w:rPr>
                <w:rFonts w:asciiTheme="minorHAnsi" w:hAnsiTheme="minorHAnsi" w:cstheme="minorBidi"/>
                <w:noProof/>
                <w:kern w:val="2"/>
                <w:sz w:val="24"/>
                <w:szCs w:val="24"/>
                <w:lang w:val="en-GB" w:eastAsia="en-GB"/>
                <w14:ligatures w14:val="standardContextual"/>
              </w:rPr>
              <w:tab/>
            </w:r>
            <w:r w:rsidRPr="006047B5">
              <w:rPr>
                <w:rStyle w:val="Hyperlink"/>
                <w:noProof/>
              </w:rPr>
              <w:t>Contract compliance</w:t>
            </w:r>
            <w:r>
              <w:rPr>
                <w:noProof/>
                <w:webHidden/>
              </w:rPr>
              <w:tab/>
            </w:r>
            <w:r>
              <w:rPr>
                <w:noProof/>
                <w:webHidden/>
              </w:rPr>
              <w:fldChar w:fldCharType="begin"/>
            </w:r>
            <w:r>
              <w:rPr>
                <w:noProof/>
                <w:webHidden/>
              </w:rPr>
              <w:instrText xml:space="preserve"> PAGEREF _Toc231656194 \h </w:instrText>
            </w:r>
            <w:r>
              <w:rPr>
                <w:noProof/>
                <w:webHidden/>
              </w:rPr>
            </w:r>
            <w:r>
              <w:rPr>
                <w:noProof/>
                <w:webHidden/>
              </w:rPr>
              <w:fldChar w:fldCharType="separate"/>
            </w:r>
            <w:r w:rsidR="00747468">
              <w:rPr>
                <w:noProof/>
                <w:webHidden/>
              </w:rPr>
              <w:t>17</w:t>
            </w:r>
            <w:r>
              <w:rPr>
                <w:noProof/>
                <w:webHidden/>
              </w:rPr>
              <w:fldChar w:fldCharType="end"/>
            </w:r>
          </w:hyperlink>
        </w:p>
        <w:p w:rsidRPr="00011714" w:rsidR="00011714" w:rsidP="00011714" w:rsidRDefault="00011714" w14:paraId="609A90A9" w14:textId="77777777">
          <w:pPr>
            <w:rPr>
              <w:noProof/>
              <w:sz w:val="10"/>
              <w:szCs w:val="10"/>
              <w:lang w:val="en-GB" w:eastAsia="en-US"/>
            </w:rPr>
          </w:pPr>
        </w:p>
        <w:p w:rsidR="00466D0F" w:rsidP="002C6772" w:rsidRDefault="00466D0F" w14:paraId="663FA971" w14:textId="3B2AD3A0">
          <w:pPr>
            <w:pStyle w:val="TOC1"/>
            <w:rPr>
              <w:rFonts w:asciiTheme="minorHAnsi" w:hAnsiTheme="minorHAnsi" w:cstheme="minorBidi"/>
              <w:kern w:val="2"/>
              <w:lang w:eastAsia="en-GB"/>
              <w14:ligatures w14:val="standardContextual"/>
            </w:rPr>
          </w:pPr>
          <w:hyperlink w:history="1" w:anchor="_Toc231656195">
            <w:r w:rsidRPr="006047B5">
              <w:rPr>
                <w:rStyle w:val="Hyperlink"/>
              </w:rPr>
              <w:t>8.</w:t>
            </w:r>
            <w:r>
              <w:rPr>
                <w:rFonts w:asciiTheme="minorHAnsi" w:hAnsiTheme="minorHAnsi" w:cstheme="minorBidi"/>
                <w:kern w:val="2"/>
                <w:lang w:eastAsia="en-GB"/>
                <w14:ligatures w14:val="standardContextual"/>
              </w:rPr>
              <w:tab/>
            </w:r>
            <w:r w:rsidRPr="006047B5">
              <w:rPr>
                <w:rStyle w:val="Hyperlink"/>
              </w:rPr>
              <w:t>Safeguarding Integration</w:t>
            </w:r>
            <w:r>
              <w:rPr>
                <w:webHidden/>
              </w:rPr>
              <w:tab/>
            </w:r>
            <w:r>
              <w:rPr>
                <w:webHidden/>
              </w:rPr>
              <w:fldChar w:fldCharType="begin"/>
            </w:r>
            <w:r>
              <w:rPr>
                <w:webHidden/>
              </w:rPr>
              <w:instrText xml:space="preserve"> PAGEREF _Toc231656195 \h </w:instrText>
            </w:r>
            <w:r>
              <w:rPr>
                <w:webHidden/>
              </w:rPr>
            </w:r>
            <w:r>
              <w:rPr>
                <w:webHidden/>
              </w:rPr>
              <w:fldChar w:fldCharType="separate"/>
            </w:r>
            <w:r w:rsidR="00747468">
              <w:rPr>
                <w:webHidden/>
              </w:rPr>
              <w:t>19</w:t>
            </w:r>
            <w:r>
              <w:rPr>
                <w:webHidden/>
              </w:rPr>
              <w:fldChar w:fldCharType="end"/>
            </w:r>
          </w:hyperlink>
        </w:p>
        <w:p w:rsidR="00466D0F" w:rsidP="00466D0F" w:rsidRDefault="00466D0F" w14:paraId="335440C6" w14:textId="6F311D0E">
          <w:pPr>
            <w:pStyle w:val="TOC2"/>
            <w:tabs>
              <w:tab w:val="left" w:pos="960"/>
              <w:tab w:val="right" w:leader="dot" w:pos="9962"/>
            </w:tabs>
            <w:spacing w:after="0" w:line="240" w:lineRule="auto"/>
            <w:rPr>
              <w:rFonts w:asciiTheme="minorHAnsi" w:hAnsiTheme="minorHAnsi" w:cstheme="minorBidi"/>
              <w:noProof/>
              <w:kern w:val="2"/>
              <w:sz w:val="24"/>
              <w:szCs w:val="24"/>
              <w:lang w:val="en-GB" w:eastAsia="en-GB"/>
              <w14:ligatures w14:val="standardContextual"/>
            </w:rPr>
          </w:pPr>
          <w:hyperlink w:history="1" w:anchor="_Toc231656196">
            <w:r w:rsidRPr="006047B5">
              <w:rPr>
                <w:rStyle w:val="Hyperlink"/>
                <w:bCs/>
                <w:noProof/>
              </w:rPr>
              <w:t>8.1.</w:t>
            </w:r>
            <w:r>
              <w:rPr>
                <w:rFonts w:asciiTheme="minorHAnsi" w:hAnsiTheme="minorHAnsi" w:cstheme="minorBidi"/>
                <w:noProof/>
                <w:kern w:val="2"/>
                <w:sz w:val="24"/>
                <w:szCs w:val="24"/>
                <w:lang w:val="en-GB" w:eastAsia="en-GB"/>
                <w14:ligatures w14:val="standardContextual"/>
              </w:rPr>
              <w:tab/>
            </w:r>
            <w:r w:rsidRPr="006047B5">
              <w:rPr>
                <w:rStyle w:val="Hyperlink"/>
                <w:noProof/>
              </w:rPr>
              <w:t>Safeguarding Data</w:t>
            </w:r>
            <w:r>
              <w:rPr>
                <w:noProof/>
                <w:webHidden/>
              </w:rPr>
              <w:tab/>
            </w:r>
            <w:r>
              <w:rPr>
                <w:noProof/>
                <w:webHidden/>
              </w:rPr>
              <w:fldChar w:fldCharType="begin"/>
            </w:r>
            <w:r>
              <w:rPr>
                <w:noProof/>
                <w:webHidden/>
              </w:rPr>
              <w:instrText xml:space="preserve"> PAGEREF _Toc231656196 \h </w:instrText>
            </w:r>
            <w:r>
              <w:rPr>
                <w:noProof/>
                <w:webHidden/>
              </w:rPr>
            </w:r>
            <w:r>
              <w:rPr>
                <w:noProof/>
                <w:webHidden/>
              </w:rPr>
              <w:fldChar w:fldCharType="separate"/>
            </w:r>
            <w:r w:rsidR="00747468">
              <w:rPr>
                <w:noProof/>
                <w:webHidden/>
              </w:rPr>
              <w:t>19</w:t>
            </w:r>
            <w:r>
              <w:rPr>
                <w:noProof/>
                <w:webHidden/>
              </w:rPr>
              <w:fldChar w:fldCharType="end"/>
            </w:r>
          </w:hyperlink>
        </w:p>
        <w:p w:rsidR="00466D0F" w:rsidP="00466D0F" w:rsidRDefault="00466D0F" w14:paraId="4245B4E9" w14:textId="5CCD6A76">
          <w:pPr>
            <w:pStyle w:val="TOC2"/>
            <w:tabs>
              <w:tab w:val="left" w:pos="960"/>
              <w:tab w:val="right" w:leader="dot" w:pos="9962"/>
            </w:tabs>
            <w:spacing w:after="0" w:line="240" w:lineRule="auto"/>
            <w:rPr>
              <w:rFonts w:asciiTheme="minorHAnsi" w:hAnsiTheme="minorHAnsi" w:cstheme="minorBidi"/>
              <w:noProof/>
              <w:kern w:val="2"/>
              <w:sz w:val="24"/>
              <w:szCs w:val="24"/>
              <w:lang w:val="en-GB" w:eastAsia="en-GB"/>
              <w14:ligatures w14:val="standardContextual"/>
            </w:rPr>
          </w:pPr>
          <w:hyperlink w:history="1" w:anchor="_Toc231656197">
            <w:r w:rsidRPr="006047B5">
              <w:rPr>
                <w:rStyle w:val="Hyperlink"/>
                <w:bCs/>
                <w:noProof/>
              </w:rPr>
              <w:t>8.2.</w:t>
            </w:r>
            <w:r>
              <w:rPr>
                <w:rFonts w:asciiTheme="minorHAnsi" w:hAnsiTheme="minorHAnsi" w:cstheme="minorBidi"/>
                <w:noProof/>
                <w:kern w:val="2"/>
                <w:sz w:val="24"/>
                <w:szCs w:val="24"/>
                <w:lang w:val="en-GB" w:eastAsia="en-GB"/>
                <w14:ligatures w14:val="standardContextual"/>
              </w:rPr>
              <w:tab/>
            </w:r>
            <w:r w:rsidRPr="006047B5">
              <w:rPr>
                <w:rStyle w:val="Hyperlink"/>
                <w:noProof/>
              </w:rPr>
              <w:t>Working in Partnership to Safeguard</w:t>
            </w:r>
            <w:r>
              <w:rPr>
                <w:noProof/>
                <w:webHidden/>
              </w:rPr>
              <w:tab/>
            </w:r>
            <w:r>
              <w:rPr>
                <w:noProof/>
                <w:webHidden/>
              </w:rPr>
              <w:fldChar w:fldCharType="begin"/>
            </w:r>
            <w:r>
              <w:rPr>
                <w:noProof/>
                <w:webHidden/>
              </w:rPr>
              <w:instrText xml:space="preserve"> PAGEREF _Toc231656197 \h </w:instrText>
            </w:r>
            <w:r>
              <w:rPr>
                <w:noProof/>
                <w:webHidden/>
              </w:rPr>
            </w:r>
            <w:r>
              <w:rPr>
                <w:noProof/>
                <w:webHidden/>
              </w:rPr>
              <w:fldChar w:fldCharType="separate"/>
            </w:r>
            <w:r w:rsidR="00747468">
              <w:rPr>
                <w:noProof/>
                <w:webHidden/>
              </w:rPr>
              <w:t>19</w:t>
            </w:r>
            <w:r>
              <w:rPr>
                <w:noProof/>
                <w:webHidden/>
              </w:rPr>
              <w:fldChar w:fldCharType="end"/>
            </w:r>
          </w:hyperlink>
        </w:p>
        <w:p w:rsidR="00466D0F" w:rsidP="00466D0F" w:rsidRDefault="00466D0F" w14:paraId="073A2557" w14:textId="1972227D">
          <w:pPr>
            <w:pStyle w:val="TOC2"/>
            <w:tabs>
              <w:tab w:val="left" w:pos="960"/>
              <w:tab w:val="right" w:leader="dot" w:pos="9962"/>
            </w:tabs>
            <w:spacing w:after="0" w:line="240" w:lineRule="auto"/>
            <w:rPr>
              <w:rStyle w:val="Hyperlink"/>
              <w:noProof/>
            </w:rPr>
          </w:pPr>
          <w:hyperlink w:history="1" w:anchor="_Toc231656198">
            <w:r w:rsidRPr="006047B5">
              <w:rPr>
                <w:rStyle w:val="Hyperlink"/>
                <w:bCs/>
                <w:noProof/>
                <w:lang w:eastAsia="en-GB"/>
              </w:rPr>
              <w:t>8.3.</w:t>
            </w:r>
            <w:r>
              <w:rPr>
                <w:rFonts w:asciiTheme="minorHAnsi" w:hAnsiTheme="minorHAnsi" w:cstheme="minorBidi"/>
                <w:noProof/>
                <w:kern w:val="2"/>
                <w:sz w:val="24"/>
                <w:szCs w:val="24"/>
                <w:lang w:val="en-GB" w:eastAsia="en-GB"/>
                <w14:ligatures w14:val="standardContextual"/>
              </w:rPr>
              <w:tab/>
            </w:r>
            <w:r w:rsidRPr="006047B5">
              <w:rPr>
                <w:rStyle w:val="Hyperlink"/>
                <w:noProof/>
              </w:rPr>
              <w:t>Provider Failure &amp; Market Risk</w:t>
            </w:r>
            <w:r>
              <w:rPr>
                <w:noProof/>
                <w:webHidden/>
              </w:rPr>
              <w:tab/>
            </w:r>
            <w:r>
              <w:rPr>
                <w:noProof/>
                <w:webHidden/>
              </w:rPr>
              <w:fldChar w:fldCharType="begin"/>
            </w:r>
            <w:r>
              <w:rPr>
                <w:noProof/>
                <w:webHidden/>
              </w:rPr>
              <w:instrText xml:space="preserve"> PAGEREF _Toc231656198 \h </w:instrText>
            </w:r>
            <w:r>
              <w:rPr>
                <w:noProof/>
                <w:webHidden/>
              </w:rPr>
            </w:r>
            <w:r>
              <w:rPr>
                <w:noProof/>
                <w:webHidden/>
              </w:rPr>
              <w:fldChar w:fldCharType="separate"/>
            </w:r>
            <w:r w:rsidR="00747468">
              <w:rPr>
                <w:noProof/>
                <w:webHidden/>
              </w:rPr>
              <w:t>19</w:t>
            </w:r>
            <w:r>
              <w:rPr>
                <w:noProof/>
                <w:webHidden/>
              </w:rPr>
              <w:fldChar w:fldCharType="end"/>
            </w:r>
          </w:hyperlink>
        </w:p>
        <w:p w:rsidRPr="00011714" w:rsidR="00011714" w:rsidP="00011714" w:rsidRDefault="00011714" w14:paraId="278CBC25" w14:textId="77777777">
          <w:pPr>
            <w:rPr>
              <w:noProof/>
              <w:sz w:val="10"/>
              <w:szCs w:val="10"/>
              <w:lang w:val="en-GB" w:eastAsia="en-US"/>
            </w:rPr>
          </w:pPr>
        </w:p>
        <w:p w:rsidR="00466D0F" w:rsidP="002C6772" w:rsidRDefault="00466D0F" w14:paraId="5CB73426" w14:textId="3B28E3B3">
          <w:pPr>
            <w:pStyle w:val="TOC1"/>
            <w:rPr>
              <w:rFonts w:asciiTheme="minorHAnsi" w:hAnsiTheme="minorHAnsi" w:cstheme="minorBidi"/>
              <w:kern w:val="2"/>
              <w:lang w:eastAsia="en-GB"/>
              <w14:ligatures w14:val="standardContextual"/>
            </w:rPr>
          </w:pPr>
          <w:hyperlink w:history="1" w:anchor="_Toc231656199">
            <w:r w:rsidRPr="006047B5">
              <w:rPr>
                <w:rStyle w:val="Hyperlink"/>
              </w:rPr>
              <w:t>9.</w:t>
            </w:r>
            <w:r>
              <w:rPr>
                <w:rFonts w:asciiTheme="minorHAnsi" w:hAnsiTheme="minorHAnsi" w:cstheme="minorBidi"/>
                <w:kern w:val="2"/>
                <w:lang w:eastAsia="en-GB"/>
                <w14:ligatures w14:val="standardContextual"/>
              </w:rPr>
              <w:tab/>
            </w:r>
            <w:r w:rsidRPr="006047B5">
              <w:rPr>
                <w:rStyle w:val="Hyperlink"/>
              </w:rPr>
              <w:t>People’s Experience</w:t>
            </w:r>
            <w:r>
              <w:rPr>
                <w:webHidden/>
              </w:rPr>
              <w:tab/>
            </w:r>
            <w:r>
              <w:rPr>
                <w:webHidden/>
              </w:rPr>
              <w:fldChar w:fldCharType="begin"/>
            </w:r>
            <w:r>
              <w:rPr>
                <w:webHidden/>
              </w:rPr>
              <w:instrText xml:space="preserve"> PAGEREF _Toc231656199 \h </w:instrText>
            </w:r>
            <w:r>
              <w:rPr>
                <w:webHidden/>
              </w:rPr>
            </w:r>
            <w:r>
              <w:rPr>
                <w:webHidden/>
              </w:rPr>
              <w:fldChar w:fldCharType="separate"/>
            </w:r>
            <w:r w:rsidR="00747468">
              <w:rPr>
                <w:webHidden/>
              </w:rPr>
              <w:t>21</w:t>
            </w:r>
            <w:r>
              <w:rPr>
                <w:webHidden/>
              </w:rPr>
              <w:fldChar w:fldCharType="end"/>
            </w:r>
          </w:hyperlink>
        </w:p>
        <w:p w:rsidR="00466D0F" w:rsidP="00466D0F" w:rsidRDefault="00466D0F" w14:paraId="7B5882D2" w14:textId="598F0750">
          <w:pPr>
            <w:pStyle w:val="TOC2"/>
            <w:tabs>
              <w:tab w:val="left" w:pos="960"/>
              <w:tab w:val="right" w:leader="dot" w:pos="9962"/>
            </w:tabs>
            <w:spacing w:after="0" w:line="240" w:lineRule="auto"/>
            <w:rPr>
              <w:rFonts w:asciiTheme="minorHAnsi" w:hAnsiTheme="minorHAnsi" w:cstheme="minorBidi"/>
              <w:noProof/>
              <w:kern w:val="2"/>
              <w:sz w:val="24"/>
              <w:szCs w:val="24"/>
              <w:lang w:val="en-GB" w:eastAsia="en-GB"/>
              <w14:ligatures w14:val="standardContextual"/>
            </w:rPr>
          </w:pPr>
          <w:hyperlink w:history="1" w:anchor="_Toc231656200">
            <w:r w:rsidRPr="006047B5">
              <w:rPr>
                <w:rStyle w:val="Hyperlink"/>
                <w:bCs/>
                <w:noProof/>
                <w:lang w:eastAsia="en-GB"/>
              </w:rPr>
              <w:t>9.1.</w:t>
            </w:r>
            <w:r>
              <w:rPr>
                <w:rFonts w:asciiTheme="minorHAnsi" w:hAnsiTheme="minorHAnsi" w:cstheme="minorBidi"/>
                <w:noProof/>
                <w:kern w:val="2"/>
                <w:sz w:val="24"/>
                <w:szCs w:val="24"/>
                <w:lang w:val="en-GB" w:eastAsia="en-GB"/>
                <w14:ligatures w14:val="standardContextual"/>
              </w:rPr>
              <w:tab/>
            </w:r>
            <w:r w:rsidRPr="006047B5">
              <w:rPr>
                <w:rStyle w:val="Hyperlink"/>
                <w:noProof/>
              </w:rPr>
              <w:t>Expert by Experience</w:t>
            </w:r>
            <w:r>
              <w:rPr>
                <w:noProof/>
                <w:webHidden/>
              </w:rPr>
              <w:tab/>
            </w:r>
            <w:r>
              <w:rPr>
                <w:noProof/>
                <w:webHidden/>
              </w:rPr>
              <w:fldChar w:fldCharType="begin"/>
            </w:r>
            <w:r>
              <w:rPr>
                <w:noProof/>
                <w:webHidden/>
              </w:rPr>
              <w:instrText xml:space="preserve"> PAGEREF _Toc231656200 \h </w:instrText>
            </w:r>
            <w:r>
              <w:rPr>
                <w:noProof/>
                <w:webHidden/>
              </w:rPr>
            </w:r>
            <w:r>
              <w:rPr>
                <w:noProof/>
                <w:webHidden/>
              </w:rPr>
              <w:fldChar w:fldCharType="separate"/>
            </w:r>
            <w:r w:rsidR="00747468">
              <w:rPr>
                <w:noProof/>
                <w:webHidden/>
              </w:rPr>
              <w:t>21</w:t>
            </w:r>
            <w:r>
              <w:rPr>
                <w:noProof/>
                <w:webHidden/>
              </w:rPr>
              <w:fldChar w:fldCharType="end"/>
            </w:r>
          </w:hyperlink>
        </w:p>
        <w:p w:rsidR="00466D0F" w:rsidP="00466D0F" w:rsidRDefault="00466D0F" w14:paraId="0D9FBD82" w14:textId="48C6662E">
          <w:pPr>
            <w:pStyle w:val="TOC2"/>
            <w:tabs>
              <w:tab w:val="left" w:pos="960"/>
              <w:tab w:val="right" w:leader="dot" w:pos="9962"/>
            </w:tabs>
            <w:spacing w:after="0" w:line="240" w:lineRule="auto"/>
            <w:rPr>
              <w:rFonts w:asciiTheme="minorHAnsi" w:hAnsiTheme="minorHAnsi" w:cstheme="minorBidi"/>
              <w:noProof/>
              <w:kern w:val="2"/>
              <w:sz w:val="24"/>
              <w:szCs w:val="24"/>
              <w:lang w:val="en-GB" w:eastAsia="en-GB"/>
              <w14:ligatures w14:val="standardContextual"/>
            </w:rPr>
          </w:pPr>
          <w:hyperlink w:history="1" w:anchor="_Toc231656201">
            <w:r w:rsidRPr="006047B5">
              <w:rPr>
                <w:rStyle w:val="Hyperlink"/>
                <w:bCs/>
                <w:noProof/>
                <w:lang w:eastAsia="en-GB"/>
              </w:rPr>
              <w:t>9.2.</w:t>
            </w:r>
            <w:r>
              <w:rPr>
                <w:rFonts w:asciiTheme="minorHAnsi" w:hAnsiTheme="minorHAnsi" w:cstheme="minorBidi"/>
                <w:noProof/>
                <w:kern w:val="2"/>
                <w:sz w:val="24"/>
                <w:szCs w:val="24"/>
                <w:lang w:val="en-GB" w:eastAsia="en-GB"/>
                <w14:ligatures w14:val="standardContextual"/>
              </w:rPr>
              <w:tab/>
            </w:r>
            <w:r w:rsidRPr="006047B5">
              <w:rPr>
                <w:rStyle w:val="Hyperlink"/>
                <w:noProof/>
              </w:rPr>
              <w:t>User and carer feedback</w:t>
            </w:r>
            <w:r>
              <w:rPr>
                <w:noProof/>
                <w:webHidden/>
              </w:rPr>
              <w:tab/>
            </w:r>
            <w:r>
              <w:rPr>
                <w:noProof/>
                <w:webHidden/>
              </w:rPr>
              <w:fldChar w:fldCharType="begin"/>
            </w:r>
            <w:r>
              <w:rPr>
                <w:noProof/>
                <w:webHidden/>
              </w:rPr>
              <w:instrText xml:space="preserve"> PAGEREF _Toc231656201 \h </w:instrText>
            </w:r>
            <w:r>
              <w:rPr>
                <w:noProof/>
                <w:webHidden/>
              </w:rPr>
            </w:r>
            <w:r>
              <w:rPr>
                <w:noProof/>
                <w:webHidden/>
              </w:rPr>
              <w:fldChar w:fldCharType="separate"/>
            </w:r>
            <w:r w:rsidR="00747468">
              <w:rPr>
                <w:noProof/>
                <w:webHidden/>
              </w:rPr>
              <w:t>22</w:t>
            </w:r>
            <w:r>
              <w:rPr>
                <w:noProof/>
                <w:webHidden/>
              </w:rPr>
              <w:fldChar w:fldCharType="end"/>
            </w:r>
          </w:hyperlink>
        </w:p>
        <w:p w:rsidR="00466D0F" w:rsidP="00466D0F" w:rsidRDefault="00466D0F" w14:paraId="4435EA96" w14:textId="1711A956">
          <w:pPr>
            <w:pStyle w:val="TOC2"/>
            <w:tabs>
              <w:tab w:val="left" w:pos="960"/>
              <w:tab w:val="right" w:leader="dot" w:pos="9962"/>
            </w:tabs>
            <w:spacing w:after="0" w:line="240" w:lineRule="auto"/>
            <w:rPr>
              <w:rFonts w:asciiTheme="minorHAnsi" w:hAnsiTheme="minorHAnsi" w:cstheme="minorBidi"/>
              <w:noProof/>
              <w:kern w:val="2"/>
              <w:sz w:val="24"/>
              <w:szCs w:val="24"/>
              <w:lang w:val="en-GB" w:eastAsia="en-GB"/>
              <w14:ligatures w14:val="standardContextual"/>
            </w:rPr>
          </w:pPr>
          <w:hyperlink w:history="1" w:anchor="_Toc231656202">
            <w:r w:rsidRPr="006047B5">
              <w:rPr>
                <w:rStyle w:val="Hyperlink"/>
                <w:bCs/>
                <w:noProof/>
                <w:lang w:eastAsia="en-GB"/>
              </w:rPr>
              <w:t>9.3.</w:t>
            </w:r>
            <w:r>
              <w:rPr>
                <w:rFonts w:asciiTheme="minorHAnsi" w:hAnsiTheme="minorHAnsi" w:cstheme="minorBidi"/>
                <w:noProof/>
                <w:kern w:val="2"/>
                <w:sz w:val="24"/>
                <w:szCs w:val="24"/>
                <w:lang w:val="en-GB" w:eastAsia="en-GB"/>
                <w14:ligatures w14:val="standardContextual"/>
              </w:rPr>
              <w:tab/>
            </w:r>
            <w:r w:rsidRPr="006047B5">
              <w:rPr>
                <w:rStyle w:val="Hyperlink"/>
                <w:noProof/>
              </w:rPr>
              <w:t>Complaints and compliments</w:t>
            </w:r>
            <w:r>
              <w:rPr>
                <w:noProof/>
                <w:webHidden/>
              </w:rPr>
              <w:tab/>
            </w:r>
            <w:r>
              <w:rPr>
                <w:noProof/>
                <w:webHidden/>
              </w:rPr>
              <w:fldChar w:fldCharType="begin"/>
            </w:r>
            <w:r>
              <w:rPr>
                <w:noProof/>
                <w:webHidden/>
              </w:rPr>
              <w:instrText xml:space="preserve"> PAGEREF _Toc231656202 \h </w:instrText>
            </w:r>
            <w:r>
              <w:rPr>
                <w:noProof/>
                <w:webHidden/>
              </w:rPr>
            </w:r>
            <w:r>
              <w:rPr>
                <w:noProof/>
                <w:webHidden/>
              </w:rPr>
              <w:fldChar w:fldCharType="separate"/>
            </w:r>
            <w:r w:rsidR="00747468">
              <w:rPr>
                <w:noProof/>
                <w:webHidden/>
              </w:rPr>
              <w:t>22</w:t>
            </w:r>
            <w:r>
              <w:rPr>
                <w:noProof/>
                <w:webHidden/>
              </w:rPr>
              <w:fldChar w:fldCharType="end"/>
            </w:r>
          </w:hyperlink>
        </w:p>
        <w:p w:rsidR="00466D0F" w:rsidP="00466D0F" w:rsidRDefault="00466D0F" w14:paraId="63754578" w14:textId="7F7CBAF1">
          <w:pPr>
            <w:pStyle w:val="TOC2"/>
            <w:tabs>
              <w:tab w:val="left" w:pos="960"/>
              <w:tab w:val="right" w:leader="dot" w:pos="9962"/>
            </w:tabs>
            <w:spacing w:after="0" w:line="240" w:lineRule="auto"/>
            <w:rPr>
              <w:rStyle w:val="Hyperlink"/>
              <w:noProof/>
            </w:rPr>
          </w:pPr>
          <w:hyperlink w:history="1" w:anchor="_Toc231656203">
            <w:r w:rsidRPr="006047B5">
              <w:rPr>
                <w:rStyle w:val="Hyperlink"/>
                <w:bCs/>
                <w:noProof/>
                <w:lang w:eastAsia="en-GB"/>
              </w:rPr>
              <w:t>9.4.</w:t>
            </w:r>
            <w:r>
              <w:rPr>
                <w:rFonts w:asciiTheme="minorHAnsi" w:hAnsiTheme="minorHAnsi" w:cstheme="minorBidi"/>
                <w:noProof/>
                <w:kern w:val="2"/>
                <w:sz w:val="24"/>
                <w:szCs w:val="24"/>
                <w:lang w:val="en-GB" w:eastAsia="en-GB"/>
                <w14:ligatures w14:val="standardContextual"/>
              </w:rPr>
              <w:tab/>
            </w:r>
            <w:r w:rsidRPr="006047B5">
              <w:rPr>
                <w:rStyle w:val="Hyperlink"/>
                <w:noProof/>
              </w:rPr>
              <w:t>Unmet need</w:t>
            </w:r>
            <w:r>
              <w:rPr>
                <w:noProof/>
                <w:webHidden/>
              </w:rPr>
              <w:tab/>
            </w:r>
            <w:r>
              <w:rPr>
                <w:noProof/>
                <w:webHidden/>
              </w:rPr>
              <w:fldChar w:fldCharType="begin"/>
            </w:r>
            <w:r>
              <w:rPr>
                <w:noProof/>
                <w:webHidden/>
              </w:rPr>
              <w:instrText xml:space="preserve"> PAGEREF _Toc231656203 \h </w:instrText>
            </w:r>
            <w:r>
              <w:rPr>
                <w:noProof/>
                <w:webHidden/>
              </w:rPr>
            </w:r>
            <w:r>
              <w:rPr>
                <w:noProof/>
                <w:webHidden/>
              </w:rPr>
              <w:fldChar w:fldCharType="separate"/>
            </w:r>
            <w:r w:rsidR="00747468">
              <w:rPr>
                <w:noProof/>
                <w:webHidden/>
              </w:rPr>
              <w:t>23</w:t>
            </w:r>
            <w:r>
              <w:rPr>
                <w:noProof/>
                <w:webHidden/>
              </w:rPr>
              <w:fldChar w:fldCharType="end"/>
            </w:r>
          </w:hyperlink>
        </w:p>
        <w:p w:rsidRPr="00011714" w:rsidR="00011714" w:rsidP="00011714" w:rsidRDefault="00011714" w14:paraId="482467F3" w14:textId="77777777">
          <w:pPr>
            <w:rPr>
              <w:noProof/>
              <w:sz w:val="10"/>
              <w:szCs w:val="10"/>
              <w:lang w:val="en-GB" w:eastAsia="en-US"/>
            </w:rPr>
          </w:pPr>
        </w:p>
        <w:p w:rsidR="00466D0F" w:rsidP="002C6772" w:rsidRDefault="00466D0F" w14:paraId="24F709A7" w14:textId="38226CCC">
          <w:pPr>
            <w:pStyle w:val="TOC1"/>
            <w:rPr>
              <w:rStyle w:val="Hyperlink"/>
            </w:rPr>
          </w:pPr>
          <w:hyperlink w:history="1" w:anchor="_Toc231656204">
            <w:r w:rsidRPr="006047B5">
              <w:rPr>
                <w:rStyle w:val="Hyperlink"/>
              </w:rPr>
              <w:t>10.</w:t>
            </w:r>
            <w:r>
              <w:rPr>
                <w:rFonts w:asciiTheme="minorHAnsi" w:hAnsiTheme="minorHAnsi" w:cstheme="minorBidi"/>
                <w:kern w:val="2"/>
                <w:lang w:eastAsia="en-GB"/>
                <w14:ligatures w14:val="standardContextual"/>
              </w:rPr>
              <w:tab/>
            </w:r>
            <w:r w:rsidRPr="006047B5">
              <w:rPr>
                <w:rStyle w:val="Hyperlink"/>
              </w:rPr>
              <w:t>Equality, Equity &amp; Access</w:t>
            </w:r>
            <w:r>
              <w:rPr>
                <w:webHidden/>
              </w:rPr>
              <w:tab/>
            </w:r>
            <w:r>
              <w:rPr>
                <w:webHidden/>
              </w:rPr>
              <w:fldChar w:fldCharType="begin"/>
            </w:r>
            <w:r>
              <w:rPr>
                <w:webHidden/>
              </w:rPr>
              <w:instrText xml:space="preserve"> PAGEREF _Toc231656204 \h </w:instrText>
            </w:r>
            <w:r>
              <w:rPr>
                <w:webHidden/>
              </w:rPr>
            </w:r>
            <w:r>
              <w:rPr>
                <w:webHidden/>
              </w:rPr>
              <w:fldChar w:fldCharType="separate"/>
            </w:r>
            <w:r w:rsidR="00747468">
              <w:rPr>
                <w:webHidden/>
              </w:rPr>
              <w:t>24</w:t>
            </w:r>
            <w:r>
              <w:rPr>
                <w:webHidden/>
              </w:rPr>
              <w:fldChar w:fldCharType="end"/>
            </w:r>
          </w:hyperlink>
        </w:p>
        <w:p w:rsidRPr="00011714" w:rsidR="00011714" w:rsidP="00011714" w:rsidRDefault="00011714" w14:paraId="5505B8D0" w14:textId="77777777">
          <w:pPr>
            <w:rPr>
              <w:noProof/>
              <w:sz w:val="10"/>
              <w:szCs w:val="10"/>
              <w:lang w:val="en-GB" w:eastAsia="en-US"/>
            </w:rPr>
          </w:pPr>
        </w:p>
        <w:p w:rsidR="00466D0F" w:rsidP="002C6772" w:rsidRDefault="00466D0F" w14:paraId="343A0537" w14:textId="79041055">
          <w:pPr>
            <w:pStyle w:val="TOC1"/>
            <w:rPr>
              <w:rFonts w:asciiTheme="minorHAnsi" w:hAnsiTheme="minorHAnsi" w:cstheme="minorBidi"/>
              <w:kern w:val="2"/>
              <w:lang w:eastAsia="en-GB"/>
              <w14:ligatures w14:val="standardContextual"/>
            </w:rPr>
          </w:pPr>
          <w:hyperlink w:history="1" w:anchor="_Toc231656205">
            <w:r w:rsidRPr="006047B5">
              <w:rPr>
                <w:rStyle w:val="Hyperlink"/>
              </w:rPr>
              <w:t>11.</w:t>
            </w:r>
            <w:r>
              <w:rPr>
                <w:rFonts w:asciiTheme="minorHAnsi" w:hAnsiTheme="minorHAnsi" w:cstheme="minorBidi"/>
                <w:kern w:val="2"/>
                <w:lang w:eastAsia="en-GB"/>
                <w14:ligatures w14:val="standardContextual"/>
              </w:rPr>
              <w:tab/>
            </w:r>
            <w:r w:rsidRPr="006047B5">
              <w:rPr>
                <w:rStyle w:val="Hyperlink"/>
              </w:rPr>
              <w:t>Forward Look &amp; Priorities</w:t>
            </w:r>
            <w:r>
              <w:rPr>
                <w:webHidden/>
              </w:rPr>
              <w:tab/>
            </w:r>
            <w:r>
              <w:rPr>
                <w:webHidden/>
              </w:rPr>
              <w:fldChar w:fldCharType="begin"/>
            </w:r>
            <w:r>
              <w:rPr>
                <w:webHidden/>
              </w:rPr>
              <w:instrText xml:space="preserve"> PAGEREF _Toc231656205 \h </w:instrText>
            </w:r>
            <w:r>
              <w:rPr>
                <w:webHidden/>
              </w:rPr>
            </w:r>
            <w:r>
              <w:rPr>
                <w:webHidden/>
              </w:rPr>
              <w:fldChar w:fldCharType="separate"/>
            </w:r>
            <w:r w:rsidR="00747468">
              <w:rPr>
                <w:webHidden/>
              </w:rPr>
              <w:t>26</w:t>
            </w:r>
            <w:r>
              <w:rPr>
                <w:webHidden/>
              </w:rPr>
              <w:fldChar w:fldCharType="end"/>
            </w:r>
          </w:hyperlink>
        </w:p>
        <w:p w:rsidR="00466D0F" w:rsidP="00466D0F" w:rsidRDefault="00466D0F" w14:paraId="30E6D5A4" w14:textId="35CF1A89">
          <w:pPr>
            <w:pStyle w:val="TOC2"/>
            <w:tabs>
              <w:tab w:val="left" w:pos="960"/>
              <w:tab w:val="right" w:leader="dot" w:pos="9962"/>
            </w:tabs>
            <w:spacing w:after="0" w:line="240" w:lineRule="auto"/>
            <w:rPr>
              <w:rFonts w:asciiTheme="minorHAnsi" w:hAnsiTheme="minorHAnsi" w:cstheme="minorBidi"/>
              <w:noProof/>
              <w:kern w:val="2"/>
              <w:sz w:val="24"/>
              <w:szCs w:val="24"/>
              <w:lang w:val="en-GB" w:eastAsia="en-GB"/>
              <w14:ligatures w14:val="standardContextual"/>
            </w:rPr>
          </w:pPr>
          <w:hyperlink w:history="1" w:anchor="_Toc231656206">
            <w:r w:rsidRPr="006047B5">
              <w:rPr>
                <w:rStyle w:val="Hyperlink"/>
                <w:bCs/>
                <w:noProof/>
              </w:rPr>
              <w:t>11.1.</w:t>
            </w:r>
            <w:r>
              <w:rPr>
                <w:rFonts w:asciiTheme="minorHAnsi" w:hAnsiTheme="minorHAnsi" w:cstheme="minorBidi"/>
                <w:noProof/>
                <w:kern w:val="2"/>
                <w:sz w:val="24"/>
                <w:szCs w:val="24"/>
                <w:lang w:val="en-GB" w:eastAsia="en-GB"/>
                <w14:ligatures w14:val="standardContextual"/>
              </w:rPr>
              <w:tab/>
            </w:r>
            <w:r w:rsidRPr="006047B5">
              <w:rPr>
                <w:rStyle w:val="Hyperlink"/>
                <w:noProof/>
              </w:rPr>
              <w:t>Emerging risks for the coming year</w:t>
            </w:r>
            <w:r>
              <w:rPr>
                <w:noProof/>
                <w:webHidden/>
              </w:rPr>
              <w:tab/>
            </w:r>
            <w:r>
              <w:rPr>
                <w:noProof/>
                <w:webHidden/>
              </w:rPr>
              <w:fldChar w:fldCharType="begin"/>
            </w:r>
            <w:r>
              <w:rPr>
                <w:noProof/>
                <w:webHidden/>
              </w:rPr>
              <w:instrText xml:space="preserve"> PAGEREF _Toc231656206 \h </w:instrText>
            </w:r>
            <w:r>
              <w:rPr>
                <w:noProof/>
                <w:webHidden/>
              </w:rPr>
            </w:r>
            <w:r>
              <w:rPr>
                <w:noProof/>
                <w:webHidden/>
              </w:rPr>
              <w:fldChar w:fldCharType="separate"/>
            </w:r>
            <w:r w:rsidR="00747468">
              <w:rPr>
                <w:noProof/>
                <w:webHidden/>
              </w:rPr>
              <w:t>26</w:t>
            </w:r>
            <w:r>
              <w:rPr>
                <w:noProof/>
                <w:webHidden/>
              </w:rPr>
              <w:fldChar w:fldCharType="end"/>
            </w:r>
          </w:hyperlink>
        </w:p>
        <w:p w:rsidR="00466D0F" w:rsidP="00466D0F" w:rsidRDefault="00466D0F" w14:paraId="229EB312" w14:textId="778EACCC">
          <w:pPr>
            <w:pStyle w:val="TOC2"/>
            <w:tabs>
              <w:tab w:val="left" w:pos="960"/>
              <w:tab w:val="right" w:leader="dot" w:pos="9962"/>
            </w:tabs>
            <w:spacing w:after="0" w:line="240" w:lineRule="auto"/>
            <w:rPr>
              <w:rFonts w:asciiTheme="minorHAnsi" w:hAnsiTheme="minorHAnsi" w:cstheme="minorBidi"/>
              <w:noProof/>
              <w:kern w:val="2"/>
              <w:sz w:val="24"/>
              <w:szCs w:val="24"/>
              <w:lang w:val="en-GB" w:eastAsia="en-GB"/>
              <w14:ligatures w14:val="standardContextual"/>
            </w:rPr>
          </w:pPr>
          <w:hyperlink w:history="1" w:anchor="_Toc231656207">
            <w:r w:rsidRPr="006047B5">
              <w:rPr>
                <w:rStyle w:val="Hyperlink"/>
                <w:bCs/>
                <w:noProof/>
                <w:lang w:eastAsia="en-GB"/>
              </w:rPr>
              <w:t>11.2.</w:t>
            </w:r>
            <w:r>
              <w:rPr>
                <w:rFonts w:asciiTheme="minorHAnsi" w:hAnsiTheme="minorHAnsi" w:cstheme="minorBidi"/>
                <w:noProof/>
                <w:kern w:val="2"/>
                <w:sz w:val="24"/>
                <w:szCs w:val="24"/>
                <w:lang w:val="en-GB" w:eastAsia="en-GB"/>
                <w14:ligatures w14:val="standardContextual"/>
              </w:rPr>
              <w:tab/>
            </w:r>
            <w:r w:rsidRPr="006047B5">
              <w:rPr>
                <w:rStyle w:val="Hyperlink"/>
                <w:noProof/>
              </w:rPr>
              <w:t>Priority areas for market development</w:t>
            </w:r>
            <w:r>
              <w:rPr>
                <w:noProof/>
                <w:webHidden/>
              </w:rPr>
              <w:tab/>
            </w:r>
            <w:r>
              <w:rPr>
                <w:noProof/>
                <w:webHidden/>
              </w:rPr>
              <w:fldChar w:fldCharType="begin"/>
            </w:r>
            <w:r>
              <w:rPr>
                <w:noProof/>
                <w:webHidden/>
              </w:rPr>
              <w:instrText xml:space="preserve"> PAGEREF _Toc231656207 \h </w:instrText>
            </w:r>
            <w:r>
              <w:rPr>
                <w:noProof/>
                <w:webHidden/>
              </w:rPr>
            </w:r>
            <w:r>
              <w:rPr>
                <w:noProof/>
                <w:webHidden/>
              </w:rPr>
              <w:fldChar w:fldCharType="separate"/>
            </w:r>
            <w:r w:rsidR="00747468">
              <w:rPr>
                <w:noProof/>
                <w:webHidden/>
              </w:rPr>
              <w:t>26</w:t>
            </w:r>
            <w:r>
              <w:rPr>
                <w:noProof/>
                <w:webHidden/>
              </w:rPr>
              <w:fldChar w:fldCharType="end"/>
            </w:r>
          </w:hyperlink>
        </w:p>
        <w:p w:rsidR="00466D0F" w:rsidP="00466D0F" w:rsidRDefault="00466D0F" w14:paraId="3D487FBF" w14:textId="771EA176">
          <w:pPr>
            <w:pStyle w:val="TOC2"/>
            <w:tabs>
              <w:tab w:val="left" w:pos="960"/>
              <w:tab w:val="right" w:leader="dot" w:pos="9962"/>
            </w:tabs>
            <w:spacing w:after="0" w:line="240" w:lineRule="auto"/>
            <w:rPr>
              <w:rFonts w:asciiTheme="minorHAnsi" w:hAnsiTheme="minorHAnsi" w:cstheme="minorBidi"/>
              <w:noProof/>
              <w:kern w:val="2"/>
              <w:sz w:val="24"/>
              <w:szCs w:val="24"/>
              <w:lang w:val="en-GB" w:eastAsia="en-GB"/>
              <w14:ligatures w14:val="standardContextual"/>
            </w:rPr>
          </w:pPr>
          <w:hyperlink w:history="1" w:anchor="_Toc231656208">
            <w:r w:rsidRPr="006047B5">
              <w:rPr>
                <w:rStyle w:val="Hyperlink"/>
                <w:bCs/>
                <w:noProof/>
                <w:lang w:eastAsia="en-GB"/>
              </w:rPr>
              <w:t>11.3.</w:t>
            </w:r>
            <w:r>
              <w:rPr>
                <w:rFonts w:asciiTheme="minorHAnsi" w:hAnsiTheme="minorHAnsi" w:cstheme="minorBidi"/>
                <w:noProof/>
                <w:kern w:val="2"/>
                <w:sz w:val="24"/>
                <w:szCs w:val="24"/>
                <w:lang w:val="en-GB" w:eastAsia="en-GB"/>
                <w14:ligatures w14:val="standardContextual"/>
              </w:rPr>
              <w:tab/>
            </w:r>
            <w:r w:rsidRPr="006047B5">
              <w:rPr>
                <w:rStyle w:val="Hyperlink"/>
                <w:noProof/>
              </w:rPr>
              <w:t>Planned changes to monitoring or commissioning approach</w:t>
            </w:r>
            <w:r>
              <w:rPr>
                <w:noProof/>
                <w:webHidden/>
              </w:rPr>
              <w:tab/>
            </w:r>
            <w:r>
              <w:rPr>
                <w:noProof/>
                <w:webHidden/>
              </w:rPr>
              <w:fldChar w:fldCharType="begin"/>
            </w:r>
            <w:r>
              <w:rPr>
                <w:noProof/>
                <w:webHidden/>
              </w:rPr>
              <w:instrText xml:space="preserve"> PAGEREF _Toc231656208 \h </w:instrText>
            </w:r>
            <w:r>
              <w:rPr>
                <w:noProof/>
                <w:webHidden/>
              </w:rPr>
            </w:r>
            <w:r>
              <w:rPr>
                <w:noProof/>
                <w:webHidden/>
              </w:rPr>
              <w:fldChar w:fldCharType="separate"/>
            </w:r>
            <w:r w:rsidR="00747468">
              <w:rPr>
                <w:noProof/>
                <w:webHidden/>
              </w:rPr>
              <w:t>27</w:t>
            </w:r>
            <w:r>
              <w:rPr>
                <w:noProof/>
                <w:webHidden/>
              </w:rPr>
              <w:fldChar w:fldCharType="end"/>
            </w:r>
          </w:hyperlink>
        </w:p>
        <w:p w:rsidRPr="00466D0F" w:rsidR="00320160" w:rsidP="00466D0F" w:rsidRDefault="009B7BEC" w14:paraId="083F0E29" w14:textId="2159A3CC">
          <w:pPr>
            <w:rPr>
              <w:b/>
              <w:bCs/>
              <w:lang w:val="en-GB" w:eastAsia="en-US"/>
            </w:rPr>
          </w:pPr>
          <w:r w:rsidRPr="00466D0F">
            <w:rPr>
              <w:rFonts w:cs="Calibri"/>
              <w:bCs/>
              <w:lang w:val="en-GB" w:eastAsia="en-US"/>
            </w:rPr>
            <w:fldChar w:fldCharType="end"/>
          </w:r>
        </w:p>
      </w:sdtContent>
    </w:sdt>
    <w:p w:rsidRPr="00466D0F" w:rsidR="00320160" w:rsidP="00BD024B" w:rsidRDefault="00320160" w14:paraId="4930A1FD" w14:textId="77777777">
      <w:pPr>
        <w:rPr>
          <w:lang w:val="en-GB"/>
        </w:rPr>
        <w:sectPr w:rsidRPr="00466D0F" w:rsidR="00320160" w:rsidSect="00747468">
          <w:headerReference w:type="even" r:id="rId16"/>
          <w:headerReference w:type="default" r:id="rId17"/>
          <w:headerReference w:type="first" r:id="rId18"/>
          <w:pgSz w:w="12240" w:h="15840" w:orient="portrait"/>
          <w:pgMar w:top="964" w:right="1134" w:bottom="964" w:left="1134" w:header="720" w:footer="720" w:gutter="0"/>
          <w:cols w:space="720"/>
          <w:docGrid w:linePitch="360"/>
        </w:sectPr>
      </w:pPr>
    </w:p>
    <w:p w:rsidRPr="00466D0F" w:rsidR="005C7A1F" w:rsidP="001C7685" w:rsidRDefault="005C7A1F" w14:paraId="032094F7" w14:textId="3B46CAAC">
      <w:pPr>
        <w:pStyle w:val="Heading1"/>
      </w:pPr>
      <w:bookmarkStart w:name="_Toc231656169" w:id="5"/>
      <w:r w:rsidRPr="00466D0F">
        <w:t>Foreword</w:t>
      </w:r>
      <w:bookmarkEnd w:id="5"/>
    </w:p>
    <w:p w:rsidRPr="00466D0F" w:rsidR="005C7A1F" w:rsidP="00F010DE" w:rsidRDefault="005C7A1F" w14:paraId="75802321" w14:textId="77777777">
      <w:pPr>
        <w:rPr>
          <w:rFonts w:cs="Calibri"/>
          <w:lang w:val="en-GB"/>
        </w:rPr>
      </w:pPr>
    </w:p>
    <w:p w:rsidRPr="00466D0F" w:rsidR="001A26A4" w:rsidP="00F010DE" w:rsidRDefault="001A26A4" w14:paraId="2E34DA3F" w14:textId="77777777">
      <w:pPr>
        <w:rPr>
          <w:kern w:val="2"/>
          <w:lang w:val="en-GB" w:eastAsia="en-GB"/>
          <w14:ligatures w14:val="standardContextual"/>
        </w:rPr>
      </w:pPr>
      <w:r w:rsidRPr="00466D0F">
        <w:rPr>
          <w:lang w:val="en-GB"/>
        </w:rPr>
        <w:t>This report provides an overview of the strength, quality and resilience of Gloucestershire’s adult social care market during 2025-26. It shows that many providers continue to deliver good care and support in challenging circumstances, and I would like to thank care providers, partners and staff across the system for their continued commitment to supporting people with dignity, safety and compassion.</w:t>
      </w:r>
    </w:p>
    <w:p w:rsidRPr="00466D0F" w:rsidR="008531DA" w:rsidP="00F010DE" w:rsidRDefault="008531DA" w14:paraId="653BEBB5" w14:textId="77777777">
      <w:pPr>
        <w:rPr>
          <w:kern w:val="2"/>
          <w:lang w:val="en-GB" w:eastAsia="en-GB"/>
          <w14:ligatures w14:val="standardContextual"/>
        </w:rPr>
      </w:pPr>
    </w:p>
    <w:p w:rsidRPr="00466D0F" w:rsidR="001A26A4" w:rsidP="00F010DE" w:rsidRDefault="001A26A4" w14:paraId="39E8834B" w14:textId="77777777">
      <w:pPr>
        <w:rPr>
          <w:kern w:val="2"/>
          <w:lang w:val="en-GB" w:eastAsia="en-GB"/>
          <w14:ligatures w14:val="standardContextual"/>
        </w:rPr>
      </w:pPr>
      <w:r w:rsidRPr="00466D0F">
        <w:rPr>
          <w:lang w:val="en-GB"/>
        </w:rPr>
        <w:t>The report also makes clear that the market is under growing pressure. Demand is increasing, needs are becoming more complex, and workforce challenges continue to affect capacity and sustainability. In some parts of the county, particularly where provision is harder to sustain, these pressures are more pronounced. This reinforces the need for ASC to take an active role in shaping the market, strengthening quality assurance, improving commercial discipline, and working alongside providers to support improvement, prevention and stability.</w:t>
      </w:r>
    </w:p>
    <w:p w:rsidRPr="00466D0F" w:rsidR="008531DA" w:rsidP="00F010DE" w:rsidRDefault="008531DA" w14:paraId="774868A1" w14:textId="77777777">
      <w:pPr>
        <w:rPr>
          <w:kern w:val="2"/>
          <w:lang w:val="en-GB" w:eastAsia="en-GB"/>
          <w14:ligatures w14:val="standardContextual"/>
        </w:rPr>
      </w:pPr>
    </w:p>
    <w:p w:rsidRPr="00466D0F" w:rsidR="0067254E" w:rsidP="00F010DE" w:rsidRDefault="001A26A4" w14:paraId="1160A086" w14:textId="77777777">
      <w:pPr>
        <w:rPr>
          <w:lang w:val="en-GB"/>
        </w:rPr>
      </w:pPr>
      <w:r w:rsidRPr="00466D0F">
        <w:rPr>
          <w:lang w:val="en-GB"/>
        </w:rPr>
        <w:t xml:space="preserve">This report should be read alongside ASC’s wider strategic approach for 2026/27. Our </w:t>
      </w:r>
      <w:r w:rsidRPr="00466D0F" w:rsidR="0067254E">
        <w:rPr>
          <w:lang w:val="en-GB"/>
        </w:rPr>
        <w:t>intention</w:t>
      </w:r>
      <w:r w:rsidRPr="00466D0F">
        <w:rPr>
          <w:lang w:val="en-GB"/>
        </w:rPr>
        <w:t xml:space="preserve"> is to stabilise the system while shifting toward prevention, building a more effective, efficient and sustainable service that enables people to live independently for longer. The progress made this year in establishing a more consistent and integrated approach to quality through the new Quality Assurance Framework, alongside the continued focus on safeguarding, people’s experience, workforce development and market shaping, provides a stronger platform for the next phase of work. </w:t>
      </w:r>
    </w:p>
    <w:p w:rsidRPr="00466D0F" w:rsidR="0067254E" w:rsidP="00F010DE" w:rsidRDefault="0067254E" w14:paraId="2FA60CD3" w14:textId="77777777">
      <w:pPr>
        <w:rPr>
          <w:lang w:val="en-GB"/>
        </w:rPr>
      </w:pPr>
    </w:p>
    <w:p w:rsidRPr="00466D0F" w:rsidR="001A26A4" w:rsidP="00F010DE" w:rsidRDefault="001A26A4" w14:paraId="4AA853D6" w14:textId="42FAEEC0">
      <w:pPr>
        <w:rPr>
          <w:kern w:val="2"/>
          <w:lang w:val="en-GB" w:eastAsia="en-GB"/>
          <w14:ligatures w14:val="standardContextual"/>
        </w:rPr>
      </w:pPr>
      <w:r w:rsidRPr="00466D0F">
        <w:rPr>
          <w:lang w:val="en-GB"/>
        </w:rPr>
        <w:t>The priorities set out for 2026-27, including full implementation of the Quality Assurance Framework, development of the Care Academy, a refreshed Market Position Statement and targeted action to address areas of market fragility, will help ensure that the market can support improved outcomes, respond to CQC findings, and remain viable in a changing system context.</w:t>
      </w:r>
    </w:p>
    <w:p w:rsidRPr="00466D0F" w:rsidR="008531DA" w:rsidP="00F010DE" w:rsidRDefault="008531DA" w14:paraId="2D92D0CF" w14:textId="77777777">
      <w:pPr>
        <w:rPr>
          <w:lang w:val="en-GB"/>
        </w:rPr>
      </w:pPr>
    </w:p>
    <w:p w:rsidRPr="00466D0F" w:rsidR="008531DA" w:rsidP="00F010DE" w:rsidRDefault="008531DA" w14:paraId="20F3F773" w14:textId="77777777">
      <w:pPr>
        <w:rPr>
          <w:lang w:val="en-GB"/>
        </w:rPr>
      </w:pPr>
    </w:p>
    <w:p w:rsidR="6BDC7831" w:rsidP="4FCD4928" w:rsidRDefault="6BDC7831" w14:paraId="64EDCD58" w14:textId="6713E4D5">
      <w:pPr>
        <w:rPr>
          <w:lang w:val="en-GB"/>
        </w:rPr>
      </w:pPr>
      <w:r w:rsidR="6BDC7831">
        <w:drawing>
          <wp:inline wp14:editId="458C94F4" wp14:anchorId="2E5F0AB8">
            <wp:extent cx="1196647" cy="499364"/>
            <wp:effectExtent l="0" t="0" r="0" b="0"/>
            <wp:docPr id="84556814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845568143" name="Picture 845568143"/>
                    <pic:cNvPicPr/>
                  </pic:nvPicPr>
                  <pic:blipFill>
                    <a:blip xmlns:r="http://schemas.openxmlformats.org/officeDocument/2006/relationships" r:embed="rId1764003610">
                      <a:extLst>
                        <a:ext uri="{28A0092B-C50C-407E-A947-70E740481C1C}">
                          <a14:useLocalDpi xmlns:a14="http://schemas.microsoft.com/office/drawing/2010/main"/>
                        </a:ext>
                      </a:extLst>
                    </a:blip>
                    <a:stretch>
                      <a:fillRect/>
                    </a:stretch>
                  </pic:blipFill>
                  <pic:spPr>
                    <a:xfrm rot="0">
                      <a:off x="0" y="0"/>
                      <a:ext cx="1196647" cy="499364"/>
                    </a:xfrm>
                    <a:prstGeom prst="rect">
                      <a:avLst/>
                    </a:prstGeom>
                  </pic:spPr>
                </pic:pic>
              </a:graphicData>
            </a:graphic>
          </wp:inline>
        </w:drawing>
      </w:r>
    </w:p>
    <w:p w:rsidRPr="00466D0F" w:rsidR="008531DA" w:rsidP="00F010DE" w:rsidRDefault="008531DA" w14:paraId="2C1ED3E0" w14:textId="1C37ABBD">
      <w:pPr>
        <w:rPr>
          <w:lang w:val="en-GB"/>
        </w:rPr>
      </w:pPr>
      <w:r w:rsidRPr="00466D0F">
        <w:rPr>
          <w:lang w:val="en-GB"/>
        </w:rPr>
        <w:t>Cllr Dr Kate Usmar</w:t>
      </w:r>
    </w:p>
    <w:p w:rsidRPr="00466D0F" w:rsidR="00744BC2" w:rsidP="00F010DE" w:rsidRDefault="00744BC2" w14:paraId="1D042824" w14:textId="77777777">
      <w:pPr>
        <w:rPr>
          <w:lang w:val="en-GB"/>
        </w:rPr>
      </w:pPr>
    </w:p>
    <w:p w:rsidRPr="00466D0F" w:rsidR="00744BC2" w:rsidP="00F010DE" w:rsidRDefault="00744BC2" w14:paraId="2E4CA4F3" w14:textId="0FA81564">
      <w:pPr>
        <w:rPr>
          <w:lang w:val="en-GB"/>
        </w:rPr>
      </w:pPr>
      <w:r w:rsidRPr="00466D0F">
        <w:rPr>
          <w:noProof/>
          <w:lang w:val="en-GB"/>
        </w:rPr>
        <w:drawing>
          <wp:inline distT="0" distB="0" distL="0" distR="0" wp14:anchorId="0F68FB75" wp14:editId="0916E7AB">
            <wp:extent cx="1429539" cy="2152650"/>
            <wp:effectExtent l="0" t="0" r="0" b="0"/>
            <wp:docPr id="1134009172" name="Picture 6" descr="Profile image for Cllr Dr Kate Usm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ofile image for Cllr Dr Kate Usma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432810" cy="2157576"/>
                    </a:xfrm>
                    <a:prstGeom prst="rect">
                      <a:avLst/>
                    </a:prstGeom>
                    <a:noFill/>
                    <a:ln>
                      <a:noFill/>
                    </a:ln>
                  </pic:spPr>
                </pic:pic>
              </a:graphicData>
            </a:graphic>
          </wp:inline>
        </w:drawing>
      </w:r>
    </w:p>
    <w:p w:rsidRPr="00466D0F" w:rsidR="008531DA" w:rsidP="00F010DE" w:rsidRDefault="008531DA" w14:paraId="6832E5F8" w14:textId="77777777">
      <w:pPr>
        <w:rPr>
          <w:kern w:val="2"/>
          <w:lang w:val="en-GB" w:eastAsia="en-GB"/>
          <w14:ligatures w14:val="standardContextual"/>
        </w:rPr>
      </w:pPr>
    </w:p>
    <w:p w:rsidRPr="00466D0F" w:rsidR="67781C0E" w:rsidP="001C7685" w:rsidRDefault="5DA2D62A" w14:paraId="6CC6B73A" w14:textId="17070391">
      <w:pPr>
        <w:pStyle w:val="Heading1"/>
      </w:pPr>
      <w:bookmarkStart w:name="_Toc231656170" w:id="6"/>
      <w:r w:rsidRPr="00466D0F">
        <w:t>Executive Summary</w:t>
      </w:r>
      <w:bookmarkEnd w:id="6"/>
      <w:r w:rsidRPr="00466D0F" w:rsidR="167D9622">
        <w:t xml:space="preserve"> </w:t>
      </w:r>
    </w:p>
    <w:p w:rsidRPr="00466D0F" w:rsidR="00333FA1" w:rsidP="00333FA1" w:rsidRDefault="00333FA1" w14:paraId="3A73E2D5" w14:textId="77777777">
      <w:pPr>
        <w:rPr>
          <w:lang w:val="en-GB"/>
        </w:rPr>
      </w:pPr>
    </w:p>
    <w:p w:rsidRPr="00466D0F" w:rsidR="00CF272F" w:rsidRDefault="00CF272F" w14:paraId="5D7C3AC9" w14:textId="77777777">
      <w:pPr>
        <w:rPr>
          <w:lang w:val="en-GB"/>
        </w:rPr>
      </w:pPr>
      <w:r w:rsidRPr="00466D0F">
        <w:rPr>
          <w:lang w:val="en-GB"/>
        </w:rPr>
        <w:t>The adult social care market in Gloucestershire during 2025-26 remains functional and generally good quality, but it is operating under increasing pressure from rising demand, workforce constraints, financial pressure and uneven market resilience. This report provides the intelligence base for ASC’s 2026/27 priorities: stabilising the system, shifting toward prevention, strengthening quality and contract discipline, and building a more sustainable and effective model of care and support.</w:t>
      </w:r>
    </w:p>
    <w:p w:rsidRPr="00466D0F" w:rsidR="000F3478" w:rsidRDefault="000F3478" w14:paraId="7C649EFA" w14:textId="77777777">
      <w:pPr>
        <w:rPr>
          <w:kern w:val="2"/>
          <w:lang w:val="en-GB" w:eastAsia="en-GB"/>
          <w14:ligatures w14:val="standardContextual"/>
        </w:rPr>
      </w:pPr>
    </w:p>
    <w:p w:rsidRPr="00466D0F" w:rsidR="007D59E7" w:rsidRDefault="007D59E7" w14:paraId="4B57F938" w14:textId="77777777">
      <w:pPr>
        <w:rPr>
          <w:kern w:val="2"/>
          <w:lang w:val="en-GB" w:eastAsia="en-GB"/>
          <w14:ligatures w14:val="standardContextual"/>
        </w:rPr>
      </w:pPr>
      <w:r w:rsidRPr="00466D0F">
        <w:rPr>
          <w:lang w:val="en-GB"/>
        </w:rPr>
        <w:t>Demand for care is growing, driven by an ageing population and increasing complexity of need. These pressures are most visible in domiciliary care, dementia services and nursing provision, and reinforce the importance of the ASC target operating model, including prevention, early intervention, reablement and support that enables people to remain independent for longer.</w:t>
      </w:r>
    </w:p>
    <w:p w:rsidRPr="00466D0F" w:rsidR="00006B2B" w:rsidP="00F010DE" w:rsidRDefault="00006B2B" w14:paraId="35413BC4" w14:textId="77777777">
      <w:pPr>
        <w:rPr>
          <w:rFonts w:cs="Calibri"/>
          <w:lang w:val="en-GB"/>
        </w:rPr>
      </w:pPr>
    </w:p>
    <w:p w:rsidRPr="00466D0F" w:rsidR="007D59E7" w:rsidRDefault="007D59E7" w14:paraId="1E90104D" w14:textId="77777777">
      <w:pPr>
        <w:rPr>
          <w:kern w:val="2"/>
          <w:lang w:val="en-GB" w:eastAsia="en-GB"/>
          <w14:ligatures w14:val="standardContextual"/>
        </w:rPr>
      </w:pPr>
      <w:r w:rsidRPr="00466D0F">
        <w:rPr>
          <w:lang w:val="en-GB"/>
        </w:rPr>
        <w:t>The care market is large and predominantly delivered by the independent sector, with approximately 396 regulated services. There is a broad mix of provision and overall quality remains stronger in bed-based care than in community services, but capacity is increasingly constrained in key segments and geographies. Growth in demand for higher-acuity, nursing and specialist care is placing increasing pressure on market sufficiency, particularly in rural areas where workforce distribution, travel time and provider viability create additional fragility. This requires a more active market-shaping response, combining targeted commissioning, stronger provider oversight and focused action in areas of thin market provision.</w:t>
      </w:r>
    </w:p>
    <w:p w:rsidRPr="00466D0F" w:rsidR="00006B2B" w:rsidP="00F010DE" w:rsidRDefault="00006B2B" w14:paraId="382F1E60" w14:textId="77777777">
      <w:pPr>
        <w:rPr>
          <w:rFonts w:cs="Calibri"/>
          <w:lang w:val="en-GB"/>
        </w:rPr>
      </w:pPr>
    </w:p>
    <w:p w:rsidRPr="00466D0F" w:rsidR="007D59E7" w:rsidRDefault="007D59E7" w14:paraId="7228D0CA" w14:textId="77777777">
      <w:pPr>
        <w:rPr>
          <w:kern w:val="2"/>
          <w:lang w:val="en-GB" w:eastAsia="en-GB"/>
          <w14:ligatures w14:val="standardContextual"/>
        </w:rPr>
      </w:pPr>
      <w:r w:rsidRPr="00466D0F">
        <w:rPr>
          <w:lang w:val="en-GB"/>
        </w:rPr>
        <w:t>Workforce capacity remains a critical risk to market sustainability. Although vacancy rates have improved slightly, the sector continues to face challenges linked to an ageing workforce, limited pay progression, reliance on international recruitment and fragility in key leadership roles. The planned Care Academy and external workforce strategy are therefore important components of the strategic response, alongside provider support and stronger local career pathways.</w:t>
      </w:r>
    </w:p>
    <w:p w:rsidRPr="00466D0F" w:rsidR="00006B2B" w:rsidP="00F010DE" w:rsidRDefault="00006B2B" w14:paraId="1357B50E" w14:textId="77777777">
      <w:pPr>
        <w:rPr>
          <w:rFonts w:cs="Calibri"/>
          <w:lang w:val="en-GB"/>
        </w:rPr>
      </w:pPr>
    </w:p>
    <w:p w:rsidRPr="00466D0F" w:rsidR="001A26A4" w:rsidP="00F010DE" w:rsidRDefault="001A26A4" w14:paraId="0A0EC9CD" w14:textId="77777777">
      <w:pPr>
        <w:rPr>
          <w:lang w:val="en-GB"/>
        </w:rPr>
      </w:pPr>
      <w:r w:rsidRPr="00466D0F">
        <w:rPr>
          <w:lang w:val="en-GB"/>
        </w:rPr>
        <w:t>Quality oversight and improvement activity strengthened significantly during the year following the introduction of a new integrated Quality Assurance Framework. This brings together data, provider self-assessment, intelligence and targeted visits to enable a more consistent and risk-based approach to assurance. Early feedback from providers has been positive, though the transition period has limited full coverage to date. The increase in risk-led activity has contributed to a rise in contract escalations, including a notable increase in provider suspensions, reflecting both improved oversight and underlying market pressures. This stronger grip on quality and contracts is central to ASC’s improvement programme and response to CQC findings.</w:t>
      </w:r>
    </w:p>
    <w:p w:rsidRPr="00466D0F" w:rsidR="00327764" w:rsidP="00F010DE" w:rsidRDefault="00327764" w14:paraId="5A05BFED" w14:textId="77777777">
      <w:pPr>
        <w:rPr>
          <w:kern w:val="2"/>
          <w:lang w:val="en-GB" w:eastAsia="en-GB"/>
          <w14:ligatures w14:val="standardContextual"/>
        </w:rPr>
      </w:pPr>
    </w:p>
    <w:p w:rsidRPr="00466D0F" w:rsidR="00006B2B" w:rsidP="00F010DE" w:rsidRDefault="6F2AE6C1" w14:paraId="1F1E3AF4" w14:textId="77777777">
      <w:pPr>
        <w:rPr>
          <w:rFonts w:cs="Calibri"/>
          <w:lang w:val="en-GB"/>
        </w:rPr>
      </w:pPr>
      <w:r w:rsidRPr="00466D0F">
        <w:rPr>
          <w:rFonts w:cs="Calibri"/>
          <w:lang w:val="en-GB"/>
        </w:rPr>
        <w:t>Safeguarding activity has increased, with a 14% rise in concerns compared to the previous year, reinforcing the importance of robust multi-agency working and continued focus on safety within the quality framework.</w:t>
      </w:r>
    </w:p>
    <w:p w:rsidRPr="00466D0F" w:rsidR="00006B2B" w:rsidP="00F010DE" w:rsidRDefault="00006B2B" w14:paraId="53265CDA" w14:textId="77777777">
      <w:pPr>
        <w:rPr>
          <w:rFonts w:cs="Calibri"/>
          <w:lang w:val="en-GB"/>
        </w:rPr>
      </w:pPr>
    </w:p>
    <w:p w:rsidRPr="00466D0F" w:rsidR="007D59E7" w:rsidRDefault="007D59E7" w14:paraId="2EE2B1C0" w14:textId="77777777">
      <w:pPr>
        <w:rPr>
          <w:kern w:val="2"/>
          <w:lang w:val="en-GB" w:eastAsia="en-GB"/>
          <w14:ligatures w14:val="standardContextual"/>
        </w:rPr>
      </w:pPr>
      <w:r w:rsidRPr="00466D0F">
        <w:rPr>
          <w:lang w:val="en-GB"/>
        </w:rPr>
        <w:t>There remain notable gaps in data relating to people’s experience, equality and outcomes. Current evidence identifies areas for improvement in provider practice, particularly around safeguarding, care quality, staff support and engagement with individuals, but more comprehensive and consistent insight is required to fully understand service user outcomes and inequalities in access or experience.</w:t>
      </w:r>
    </w:p>
    <w:p w:rsidRPr="00466D0F" w:rsidR="00006B2B" w:rsidP="00F010DE" w:rsidRDefault="00006B2B" w14:paraId="3470B88A" w14:textId="77777777">
      <w:pPr>
        <w:rPr>
          <w:rFonts w:cs="Calibri"/>
          <w:lang w:val="en-GB"/>
        </w:rPr>
      </w:pPr>
    </w:p>
    <w:p w:rsidRPr="00466D0F" w:rsidR="007D59E7" w:rsidRDefault="007D59E7" w14:paraId="36054672" w14:textId="77777777">
      <w:pPr>
        <w:rPr>
          <w:kern w:val="2"/>
          <w:lang w:val="en-GB" w:eastAsia="en-GB"/>
          <w14:ligatures w14:val="standardContextual"/>
        </w:rPr>
      </w:pPr>
      <w:r w:rsidRPr="00466D0F">
        <w:rPr>
          <w:lang w:val="en-GB"/>
        </w:rPr>
        <w:t>Looking ahead to 2026-27, priorities are focused on stabilising the market while supporting longer-term change. Key actions include full implementation of the Quality Assurance Framework, a refreshed Market Position Statement, launch of a county-wide Care Academy, stronger commercial and contract discipline, and targeted commissioning approaches to address rural thin markets and improve access in underserved areas. Collectively, these actions are intended to strengthen quality, improve workforce resilience, support financial sustainability and enable a more preventative and home-first model of care.</w:t>
      </w:r>
    </w:p>
    <w:p w:rsidRPr="00466D0F" w:rsidR="00006B2B" w:rsidP="00F010DE" w:rsidRDefault="00006B2B" w14:paraId="6C7D18A0" w14:textId="77777777">
      <w:pPr>
        <w:rPr>
          <w:rFonts w:cs="Calibri"/>
          <w:lang w:val="en-GB"/>
        </w:rPr>
      </w:pPr>
    </w:p>
    <w:p w:rsidRPr="00466D0F" w:rsidR="00CF272F" w:rsidRDefault="00CF272F" w14:paraId="16CE06FF" w14:textId="77777777">
      <w:pPr>
        <w:rPr>
          <w:kern w:val="2"/>
          <w:lang w:val="en-GB" w:eastAsia="en-GB"/>
          <w14:ligatures w14:val="standardContextual"/>
        </w:rPr>
      </w:pPr>
      <w:r w:rsidRPr="00466D0F">
        <w:rPr>
          <w:lang w:val="en-GB"/>
        </w:rPr>
        <w:t>The Gloucestershire ASC market continues to deliver generally good-quality care, but it is becoming more fragile. Without sustained intervention and strategic development, pressures relating to demand growth, workforce capacity, provider sustainability and affordability are likely to intensify. This report therefore sets out both the current market position and the strategic priorities required to support ASC’s wider programme of transformation and improvement.</w:t>
      </w:r>
    </w:p>
    <w:p w:rsidRPr="00466D0F" w:rsidR="00EC14C8" w:rsidP="00F010DE" w:rsidRDefault="00EC14C8" w14:paraId="52BA03DF" w14:textId="77777777">
      <w:pPr>
        <w:rPr>
          <w:rFonts w:cs="Calibri"/>
          <w:lang w:val="en-GB"/>
        </w:rPr>
      </w:pPr>
      <w:r w:rsidRPr="00466D0F">
        <w:rPr>
          <w:rFonts w:cs="Calibri"/>
          <w:lang w:val="en-GB"/>
        </w:rPr>
        <w:br w:type="page"/>
      </w:r>
    </w:p>
    <w:p w:rsidRPr="00466D0F" w:rsidR="0064430F" w:rsidP="001C7685" w:rsidRDefault="71C0398E" w14:paraId="6FE99614" w14:textId="513AB02D">
      <w:pPr>
        <w:pStyle w:val="Heading1"/>
      </w:pPr>
      <w:bookmarkStart w:name="_Toc231656171" w:id="7"/>
      <w:r w:rsidRPr="00466D0F">
        <w:t>Market Overview</w:t>
      </w:r>
      <w:bookmarkEnd w:id="7"/>
      <w:r w:rsidRPr="00466D0F" w:rsidR="0064430F">
        <w:t xml:space="preserve"> </w:t>
      </w:r>
    </w:p>
    <w:p w:rsidRPr="00466D0F" w:rsidR="00333FA1" w:rsidP="00333FA1" w:rsidRDefault="00333FA1" w14:paraId="2D9B0285" w14:textId="77777777">
      <w:pPr>
        <w:rPr>
          <w:lang w:val="en-GB"/>
        </w:rPr>
      </w:pPr>
    </w:p>
    <w:p w:rsidRPr="00466D0F" w:rsidR="00CF272F" w:rsidRDefault="00CF272F" w14:paraId="50A34B7C" w14:textId="77777777">
      <w:pPr>
        <w:rPr>
          <w:kern w:val="2"/>
          <w:lang w:val="en-GB" w:eastAsia="en-GB"/>
          <w14:ligatures w14:val="standardContextual"/>
        </w:rPr>
      </w:pPr>
      <w:r w:rsidRPr="00466D0F">
        <w:rPr>
          <w:lang w:val="en-GB"/>
        </w:rPr>
        <w:t>This report should be read in the context of ASC’s 2026-27 strategic approach. The service is seeking to stabilise the system while shifting toward prevention, with a stronger focus on helping people remain independent for longer, improving outcomes, strengthening quality, and responding to CQC findings. The market analysis that follows is intended not only to describe the current position, but also to inform how ASC shapes, supports and commissions the market so that it can better deliver the Prevent, Reduce, Delay ambition of the target operating model.</w:t>
      </w:r>
    </w:p>
    <w:p w:rsidRPr="00466D0F" w:rsidR="001A26A4" w:rsidP="00F010DE" w:rsidRDefault="001A26A4" w14:paraId="16352440" w14:textId="77777777">
      <w:pPr>
        <w:rPr>
          <w:kern w:val="2"/>
          <w:lang w:val="en-GB" w:eastAsia="en-GB"/>
          <w14:ligatures w14:val="standardContextual"/>
        </w:rPr>
      </w:pPr>
    </w:p>
    <w:p w:rsidRPr="00466D0F" w:rsidR="0064430F" w:rsidP="001C7685" w:rsidRDefault="0064430F" w14:paraId="434DDC0D" w14:textId="76053D23">
      <w:pPr>
        <w:pStyle w:val="Heading2"/>
      </w:pPr>
      <w:bookmarkStart w:name="_Toc231656172" w:id="8"/>
      <w:r w:rsidRPr="00466D0F">
        <w:t>Population and Demand Context</w:t>
      </w:r>
      <w:bookmarkEnd w:id="8"/>
    </w:p>
    <w:p w:rsidRPr="00466D0F" w:rsidR="00AA2BF6" w:rsidP="00F010DE" w:rsidRDefault="00AA2BF6" w14:paraId="52CCBE7C" w14:textId="42B5CE77">
      <w:pPr>
        <w:rPr>
          <w:rStyle w:val="Heading3Char"/>
          <w:rFonts w:ascii="Calibri" w:hAnsi="Calibri" w:cs="Calibri"/>
          <w:color w:val="auto"/>
          <w:lang w:val="en-GB"/>
        </w:rPr>
      </w:pPr>
      <w:r w:rsidRPr="00466D0F">
        <w:rPr>
          <w:rStyle w:val="Heading3Char"/>
          <w:rFonts w:ascii="Calibri" w:hAnsi="Calibri" w:cs="Calibri"/>
          <w:color w:val="auto"/>
          <w:lang w:val="en-GB"/>
        </w:rPr>
        <w:t>Gloucestershire has a population of approximately 659,000, which has grown steadily in recent years and is characterised by a highly rural profile (50.5%) compared to the England average. This rurality presents additional challenges in accessing and delivering care, including travel time, workforce distribution, and cost pressures.</w:t>
      </w:r>
    </w:p>
    <w:p w:rsidRPr="00466D0F" w:rsidR="002000EE" w:rsidP="00F010DE" w:rsidRDefault="002000EE" w14:paraId="140FFFB1" w14:textId="77777777">
      <w:pPr>
        <w:rPr>
          <w:rStyle w:val="Heading3Char"/>
          <w:rFonts w:ascii="Calibri" w:hAnsi="Calibri" w:cs="Calibri"/>
          <w:color w:val="auto"/>
          <w:lang w:val="en-GB"/>
        </w:rPr>
      </w:pPr>
    </w:p>
    <w:p w:rsidRPr="00466D0F" w:rsidR="00AA2BF6" w:rsidP="00F010DE" w:rsidRDefault="00AA2BF6" w14:paraId="13B4840A" w14:textId="32AC61A0">
      <w:pPr>
        <w:rPr>
          <w:rStyle w:val="Heading3Char"/>
          <w:rFonts w:ascii="Calibri" w:hAnsi="Calibri" w:cs="Calibri"/>
          <w:color w:val="auto"/>
          <w:lang w:val="en-GB"/>
        </w:rPr>
      </w:pPr>
      <w:r w:rsidRPr="00466D0F">
        <w:rPr>
          <w:rStyle w:val="Heading3Char"/>
          <w:rFonts w:ascii="Calibri" w:hAnsi="Calibri" w:cs="Calibri"/>
          <w:color w:val="auto"/>
          <w:lang w:val="en-GB"/>
        </w:rPr>
        <w:t xml:space="preserve">Demand for adult social care is strongly shaped by demographic change, particularly ageing. The Gloucestershire </w:t>
      </w:r>
      <w:r w:rsidRPr="00466D0F" w:rsidR="000A0E23">
        <w:rPr>
          <w:rStyle w:val="Heading3Char"/>
          <w:rFonts w:ascii="Calibri" w:hAnsi="Calibri" w:cs="Calibri"/>
          <w:color w:val="auto"/>
          <w:lang w:val="en-GB"/>
        </w:rPr>
        <w:t xml:space="preserve">Adult Social Care </w:t>
      </w:r>
      <w:r w:rsidRPr="00466D0F" w:rsidR="00DE7161">
        <w:rPr>
          <w:rStyle w:val="Heading3Char"/>
          <w:rFonts w:ascii="Calibri" w:hAnsi="Calibri" w:cs="Calibri"/>
          <w:color w:val="auto"/>
          <w:lang w:val="en-GB"/>
        </w:rPr>
        <w:t xml:space="preserve">(ASC) </w:t>
      </w:r>
      <w:r w:rsidRPr="00466D0F">
        <w:rPr>
          <w:rStyle w:val="Heading3Char"/>
          <w:rFonts w:ascii="Calibri" w:hAnsi="Calibri" w:cs="Calibri"/>
          <w:color w:val="auto"/>
          <w:lang w:val="en-GB"/>
        </w:rPr>
        <w:t>M</w:t>
      </w:r>
      <w:r w:rsidRPr="00466D0F" w:rsidR="00DE7161">
        <w:rPr>
          <w:rStyle w:val="Heading3Char"/>
          <w:rFonts w:ascii="Calibri" w:hAnsi="Calibri" w:cs="Calibri"/>
          <w:color w:val="auto"/>
          <w:lang w:val="en-GB"/>
        </w:rPr>
        <w:t xml:space="preserve">arket </w:t>
      </w:r>
      <w:r w:rsidRPr="00466D0F">
        <w:rPr>
          <w:rStyle w:val="Heading3Char"/>
          <w:rFonts w:ascii="Calibri" w:hAnsi="Calibri" w:cs="Calibri"/>
          <w:color w:val="auto"/>
          <w:lang w:val="en-GB"/>
        </w:rPr>
        <w:t>P</w:t>
      </w:r>
      <w:r w:rsidRPr="00466D0F" w:rsidR="00DE7161">
        <w:rPr>
          <w:rStyle w:val="Heading3Char"/>
          <w:rFonts w:ascii="Calibri" w:hAnsi="Calibri" w:cs="Calibri"/>
          <w:color w:val="auto"/>
          <w:lang w:val="en-GB"/>
        </w:rPr>
        <w:t xml:space="preserve">osition </w:t>
      </w:r>
      <w:r w:rsidRPr="00466D0F">
        <w:rPr>
          <w:rStyle w:val="Heading3Char"/>
          <w:rFonts w:ascii="Calibri" w:hAnsi="Calibri" w:cs="Calibri"/>
          <w:color w:val="auto"/>
          <w:lang w:val="en-GB"/>
        </w:rPr>
        <w:t>S</w:t>
      </w:r>
      <w:r w:rsidRPr="00466D0F" w:rsidR="00DE7161">
        <w:rPr>
          <w:rStyle w:val="Heading3Char"/>
          <w:rFonts w:ascii="Calibri" w:hAnsi="Calibri" w:cs="Calibri"/>
          <w:color w:val="auto"/>
          <w:lang w:val="en-GB"/>
        </w:rPr>
        <w:t>tatement (MPS)</w:t>
      </w:r>
      <w:r w:rsidRPr="00466D0F">
        <w:rPr>
          <w:rStyle w:val="Heading3Char"/>
          <w:rFonts w:ascii="Calibri" w:hAnsi="Calibri" w:cs="Calibri"/>
          <w:color w:val="auto"/>
          <w:lang w:val="en-GB"/>
        </w:rPr>
        <w:t xml:space="preserve"> identifies that the likelihood of requiring formal care increases significantly with age, rising from 1.8% at age 75 to 8.1% at age 85, demonstrating the exponential growth in need for higher-intensity and bed-based care among older cohorts.</w:t>
      </w:r>
      <w:r w:rsidRPr="00466D0F" w:rsidR="006B36F8">
        <w:rPr>
          <w:rStyle w:val="FootnoteReference"/>
          <w:rFonts w:cs="Calibri"/>
          <w:lang w:val="en-GB"/>
        </w:rPr>
        <w:footnoteReference w:id="1"/>
      </w:r>
    </w:p>
    <w:p w:rsidRPr="00466D0F" w:rsidR="00B1261A" w:rsidP="00F010DE" w:rsidRDefault="00B1261A" w14:paraId="3E83B8DA" w14:textId="77777777">
      <w:pPr>
        <w:rPr>
          <w:rStyle w:val="Heading3Char"/>
          <w:rFonts w:ascii="Calibri" w:hAnsi="Calibri" w:cs="Calibri"/>
          <w:color w:val="auto"/>
          <w:lang w:val="en-GB"/>
        </w:rPr>
      </w:pPr>
    </w:p>
    <w:p w:rsidRPr="00466D0F" w:rsidR="007D59E7" w:rsidRDefault="007D59E7" w14:paraId="7480C77E" w14:textId="77777777">
      <w:pPr>
        <w:rPr>
          <w:kern w:val="2"/>
          <w:lang w:val="en-GB" w:eastAsia="en-GB"/>
          <w14:ligatures w14:val="standardContextual"/>
        </w:rPr>
      </w:pPr>
      <w:r w:rsidRPr="00466D0F">
        <w:rPr>
          <w:lang w:val="en-GB"/>
        </w:rPr>
        <w:t>Taken together, the demographic evidence shows that demand is expected to rise significantly over the next two decades. Gloucestershire is projected to see strong growth in the older population, particularly among people aged 85 and over, which will increase pressure across domiciliary care, dementia support, residential care and nursing care. Current projections indicate that overall bed-based demand for people aged 85 and over could grow by around 97% by 2043, including an estimated 84% increase in residential bed demand and a 122% increase in nursing bed demand. This underlines the scale of future demand and the need to expand prevention, reablement and home-first approaches while also planning for sufficient specialist and bed-based capacity.</w:t>
      </w:r>
    </w:p>
    <w:p w:rsidRPr="00466D0F" w:rsidR="000826AB" w:rsidP="00F010DE" w:rsidRDefault="000826AB" w14:paraId="44ECEFC6" w14:textId="77777777">
      <w:pPr>
        <w:rPr>
          <w:rStyle w:val="Heading3Char"/>
          <w:rFonts w:ascii="Calibri" w:hAnsi="Calibri" w:cs="Calibri"/>
          <w:color w:val="auto"/>
          <w:lang w:val="en-GB"/>
        </w:rPr>
      </w:pPr>
    </w:p>
    <w:p w:rsidRPr="00466D0F" w:rsidR="00581F6C" w:rsidRDefault="00581F6C" w14:paraId="28088BDF" w14:textId="77777777">
      <w:pPr>
        <w:rPr>
          <w:kern w:val="2"/>
          <w:lang w:val="en-GB" w:eastAsia="en-GB"/>
          <w14:ligatures w14:val="standardContextual"/>
        </w:rPr>
      </w:pPr>
      <w:r w:rsidRPr="00466D0F">
        <w:rPr>
          <w:rStyle w:val="Heading3Char"/>
          <w:rFonts w:ascii="Calibri" w:hAnsi="Calibri"/>
          <w:color w:val="auto"/>
          <w:lang w:val="en-GB"/>
        </w:rPr>
        <w:t>In addition, GCC purchases only a proportion of total care, with early analysis indicating that around 61% of care is commissioned by Gloucestershire, 28% is self-funded, and 11% is commissioned by another local authority. This means overall system demand and market activity extend well beyond GCC-commissioned volumes and reinforces the importance of taking a whole-market view when planning sufficiency, quality oversight and future market development.</w:t>
      </w:r>
    </w:p>
    <w:p w:rsidRPr="00466D0F" w:rsidR="0000259E" w:rsidP="00F010DE" w:rsidRDefault="0000259E" w14:paraId="0FCC3E06" w14:textId="77777777">
      <w:pPr>
        <w:rPr>
          <w:rStyle w:val="Heading3Char"/>
          <w:rFonts w:ascii="Calibri" w:hAnsi="Calibri" w:cs="Calibri"/>
          <w:color w:val="auto"/>
          <w:lang w:val="en-GB"/>
        </w:rPr>
      </w:pPr>
    </w:p>
    <w:p w:rsidRPr="00466D0F" w:rsidR="00C71553" w:rsidP="00C71553" w:rsidRDefault="00C71553" w14:paraId="62275DC4" w14:textId="77777777">
      <w:pPr>
        <w:rPr>
          <w:kern w:val="2"/>
          <w:lang w:val="en-GB" w:eastAsia="en-GB"/>
          <w14:ligatures w14:val="standardContextual"/>
        </w:rPr>
      </w:pPr>
      <w:r w:rsidRPr="00466D0F">
        <w:rPr>
          <w:lang w:val="en-GB"/>
        </w:rPr>
        <w:t>There are 41 day services</w:t>
      </w:r>
      <w:bookmarkStart w:name="_ftnref2" w:id="9"/>
      <w:r w:rsidRPr="00466D0F">
        <w:rPr>
          <w:lang w:val="en-GB"/>
        </w:rPr>
        <w:fldChar w:fldCharType="begin"/>
      </w:r>
      <w:r w:rsidRPr="00466D0F">
        <w:rPr>
          <w:lang w:val="en-GB"/>
        </w:rPr>
        <w:instrText>HYPERLINK "" \l "_ftn2" \o ""</w:instrText>
      </w:r>
      <w:r w:rsidRPr="00466D0F">
        <w:rPr>
          <w:lang w:val="en-GB"/>
        </w:rPr>
      </w:r>
      <w:r w:rsidRPr="00466D0F">
        <w:rPr>
          <w:lang w:val="en-GB"/>
        </w:rPr>
        <w:fldChar w:fldCharType="separate"/>
      </w:r>
      <w:r w:rsidRPr="00466D0F">
        <w:rPr>
          <w:rStyle w:val="FootnoteReference"/>
          <w:color w:val="467886"/>
          <w:u w:val="single"/>
          <w:lang w:val="en-GB"/>
        </w:rPr>
        <w:t>[2]</w:t>
      </w:r>
      <w:r w:rsidRPr="00466D0F">
        <w:rPr>
          <w:lang w:val="en-GB"/>
        </w:rPr>
        <w:fldChar w:fldCharType="end"/>
      </w:r>
      <w:bookmarkEnd w:id="9"/>
      <w:r w:rsidRPr="00466D0F">
        <w:rPr>
          <w:lang w:val="en-GB"/>
        </w:rPr>
        <w:t xml:space="preserve"> operating in Gloucestershire within the scope of the QA team, although this may not capture the full extent of informal or unregistered provision. Support is delivered through a mixed economy of provision, including local authority commissioning, self-funded provision, and voluntary sector delivery.</w:t>
      </w:r>
    </w:p>
    <w:p w:rsidRPr="00466D0F" w:rsidR="00C71553" w:rsidP="00F010DE" w:rsidRDefault="00C71553" w14:paraId="3172F135" w14:textId="77777777">
      <w:pPr>
        <w:rPr>
          <w:rStyle w:val="Heading3Char"/>
          <w:rFonts w:ascii="Calibri" w:hAnsi="Calibri" w:cs="Calibri"/>
          <w:color w:val="auto"/>
          <w:lang w:val="en-GB"/>
        </w:rPr>
      </w:pPr>
    </w:p>
    <w:p w:rsidRPr="00466D0F" w:rsidR="00512365" w:rsidP="001C7685" w:rsidRDefault="32FEEAEF" w14:paraId="2755FF3E" w14:textId="206DC060">
      <w:pPr>
        <w:pStyle w:val="Heading2"/>
      </w:pPr>
      <w:bookmarkStart w:name="_Toc231656173" w:id="10"/>
      <w:r>
        <w:t>Market Structure and Supply</w:t>
      </w:r>
      <w:bookmarkEnd w:id="10"/>
    </w:p>
    <w:p w:rsidRPr="00466D0F" w:rsidR="007D59E7" w:rsidRDefault="007D59E7" w14:paraId="1C939A4E" w14:textId="77777777">
      <w:pPr>
        <w:rPr>
          <w:kern w:val="2"/>
          <w:lang w:val="en-GB" w:eastAsia="en-GB"/>
          <w14:ligatures w14:val="standardContextual"/>
        </w:rPr>
      </w:pPr>
      <w:r w:rsidRPr="00466D0F">
        <w:rPr>
          <w:lang w:val="en-GB"/>
        </w:rPr>
        <w:t>The Gloucestershire care market is predominantly delivered by the independent sector and comprises 396 CQC-regulated services across residential and community-based provision.</w:t>
      </w:r>
      <w:hyperlink w:history="1" w:anchor="_ftn3">
        <w:r w:rsidRPr="00466D0F">
          <w:rPr>
            <w:rStyle w:val="FootnoteReference"/>
            <w:color w:val="467886"/>
            <w:u w:val="single"/>
            <w:lang w:val="en-GB"/>
          </w:rPr>
          <w:t>[3]</w:t>
        </w:r>
      </w:hyperlink>
    </w:p>
    <w:p w:rsidRPr="00466D0F" w:rsidR="002000EE" w:rsidP="00F010DE" w:rsidRDefault="002000EE" w14:paraId="7F8FF480" w14:textId="77777777">
      <w:pPr>
        <w:pStyle w:val="ListParagraph"/>
        <w:numPr>
          <w:ilvl w:val="0"/>
          <w:numId w:val="7"/>
        </w:numPr>
        <w:rPr>
          <w:rFonts w:cs="Calibri"/>
          <w:kern w:val="2"/>
          <w:lang w:val="en-GB" w:eastAsia="en-GB"/>
          <w14:ligatures w14:val="standardContextual"/>
        </w:rPr>
      </w:pPr>
      <w:r w:rsidRPr="00466D0F">
        <w:rPr>
          <w:rFonts w:cs="Calibri"/>
          <w:lang w:val="en-GB"/>
        </w:rPr>
        <w:t>201 registered care homes, of which 74 provide nursing care</w:t>
      </w:r>
    </w:p>
    <w:p w:rsidRPr="00466D0F" w:rsidR="002000EE" w:rsidP="00F010DE" w:rsidRDefault="002000EE" w14:paraId="50A3D3AD" w14:textId="77777777">
      <w:pPr>
        <w:pStyle w:val="ListParagraph"/>
        <w:numPr>
          <w:ilvl w:val="0"/>
          <w:numId w:val="7"/>
        </w:numPr>
        <w:rPr>
          <w:rFonts w:cs="Calibri"/>
          <w:lang w:val="en-GB"/>
        </w:rPr>
      </w:pPr>
      <w:r w:rsidRPr="00466D0F">
        <w:rPr>
          <w:rFonts w:cs="Calibri"/>
          <w:lang w:val="en-GB"/>
        </w:rPr>
        <w:t>195 community-based services</w:t>
      </w:r>
    </w:p>
    <w:p w:rsidRPr="00466D0F" w:rsidR="002000EE" w:rsidP="00F010DE" w:rsidRDefault="002000EE" w14:paraId="441AA312" w14:textId="77777777">
      <w:pPr>
        <w:rPr>
          <w:rStyle w:val="Heading3Char"/>
          <w:rFonts w:ascii="Calibri" w:hAnsi="Calibri" w:cs="Calibri"/>
          <w:color w:val="auto"/>
          <w:lang w:val="en-GB"/>
        </w:rPr>
      </w:pPr>
    </w:p>
    <w:p w:rsidRPr="00466D0F" w:rsidR="00356CFB" w:rsidP="00F010DE" w:rsidRDefault="009A6722" w14:paraId="4491BF92" w14:textId="600893CA">
      <w:pPr>
        <w:rPr>
          <w:rStyle w:val="Heading3Char"/>
          <w:rFonts w:ascii="Calibri" w:hAnsi="Calibri" w:cs="Calibri"/>
          <w:color w:val="auto"/>
          <w:lang w:val="en-GB"/>
        </w:rPr>
      </w:pPr>
      <w:r w:rsidRPr="00466D0F">
        <w:rPr>
          <w:rStyle w:val="Heading3Char"/>
          <w:rFonts w:ascii="Calibri" w:hAnsi="Calibri" w:cs="Calibri"/>
          <w:color w:val="auto"/>
          <w:lang w:val="en-GB"/>
        </w:rPr>
        <w:t>T</w:t>
      </w:r>
      <w:r w:rsidRPr="00466D0F" w:rsidR="00356CFB">
        <w:rPr>
          <w:rStyle w:val="Heading3Char"/>
          <w:rFonts w:ascii="Calibri" w:hAnsi="Calibri" w:cs="Calibri"/>
          <w:color w:val="auto"/>
          <w:lang w:val="en-GB"/>
        </w:rPr>
        <w:t>he 195 community-based services</w:t>
      </w:r>
      <w:r w:rsidRPr="00466D0F">
        <w:rPr>
          <w:rStyle w:val="Heading3Char"/>
          <w:rFonts w:ascii="Calibri" w:hAnsi="Calibri" w:cs="Calibri"/>
          <w:color w:val="auto"/>
          <w:lang w:val="en-GB"/>
        </w:rPr>
        <w:t xml:space="preserve"> include</w:t>
      </w:r>
      <w:r w:rsidRPr="00466D0F" w:rsidR="003D2BFE">
        <w:rPr>
          <w:rStyle w:val="Heading3Char"/>
          <w:rFonts w:ascii="Calibri" w:hAnsi="Calibri" w:cs="Calibri"/>
          <w:color w:val="auto"/>
          <w:lang w:val="en-GB"/>
        </w:rPr>
        <w:t>:</w:t>
      </w:r>
    </w:p>
    <w:p w:rsidRPr="00466D0F" w:rsidR="009A6722" w:rsidP="00F010DE" w:rsidRDefault="0107BF08" w14:paraId="2129DB4B" w14:textId="2CF6FEE7">
      <w:pPr>
        <w:pStyle w:val="ListParagraph"/>
        <w:numPr>
          <w:ilvl w:val="0"/>
          <w:numId w:val="3"/>
        </w:numPr>
        <w:rPr>
          <w:rFonts w:cs="Calibri"/>
          <w:lang w:val="en-GB"/>
        </w:rPr>
      </w:pPr>
      <w:hyperlink r:id="rId20">
        <w:r w:rsidRPr="00466D0F">
          <w:rPr>
            <w:rFonts w:cs="Calibri"/>
            <w:lang w:val="en-GB"/>
          </w:rPr>
          <w:t>177</w:t>
        </w:r>
      </w:hyperlink>
      <w:r w:rsidRPr="00466D0F" w:rsidR="009A6722">
        <w:rPr>
          <w:rFonts w:cs="Calibri"/>
          <w:lang w:val="en-GB"/>
        </w:rPr>
        <w:t xml:space="preserve"> provide domiciliary care</w:t>
      </w:r>
      <w:r w:rsidRPr="00466D0F">
        <w:rPr>
          <w:rFonts w:cs="Calibri"/>
          <w:lang w:val="en-GB"/>
        </w:rPr>
        <w:t xml:space="preserve"> locations </w:t>
      </w:r>
      <w:r w:rsidRPr="00466D0F" w:rsidR="7F44407A">
        <w:rPr>
          <w:rFonts w:cs="Calibri"/>
          <w:lang w:val="en-GB"/>
        </w:rPr>
        <w:t>that</w:t>
      </w:r>
      <w:r w:rsidRPr="00466D0F">
        <w:rPr>
          <w:rFonts w:cs="Calibri"/>
          <w:lang w:val="en-GB"/>
        </w:rPr>
        <w:t xml:space="preserve"> provide domiciliary care</w:t>
      </w:r>
      <w:r w:rsidRPr="00466D0F" w:rsidR="4ED90234">
        <w:rPr>
          <w:rFonts w:cs="Calibri"/>
          <w:lang w:val="en-GB"/>
        </w:rPr>
        <w:t>.</w:t>
      </w:r>
    </w:p>
    <w:p w:rsidRPr="00466D0F" w:rsidR="009A6722" w:rsidP="00F010DE" w:rsidRDefault="009A6722" w14:paraId="5DCE8C15" w14:textId="1A9DB42B">
      <w:pPr>
        <w:pStyle w:val="ListParagraph"/>
        <w:numPr>
          <w:ilvl w:val="0"/>
          <w:numId w:val="3"/>
        </w:numPr>
        <w:rPr>
          <w:rFonts w:cs="Calibri"/>
          <w:lang w:val="en-GB"/>
        </w:rPr>
      </w:pPr>
      <w:hyperlink w:tgtFrame="_blank" w:history="1" r:id="rId21">
        <w:r w:rsidRPr="00466D0F">
          <w:rPr>
            <w:rFonts w:cs="Calibri"/>
            <w:lang w:val="en-GB"/>
          </w:rPr>
          <w:t>71</w:t>
        </w:r>
      </w:hyperlink>
      <w:r w:rsidRPr="00466D0F">
        <w:rPr>
          <w:rFonts w:cs="Calibri"/>
          <w:lang w:val="en-GB"/>
        </w:rPr>
        <w:t xml:space="preserve"> locations </w:t>
      </w:r>
      <w:r w:rsidRPr="00466D0F" w:rsidR="009D418A">
        <w:rPr>
          <w:rFonts w:cs="Calibri"/>
          <w:lang w:val="en-GB"/>
        </w:rPr>
        <w:t>that</w:t>
      </w:r>
      <w:r w:rsidRPr="00466D0F">
        <w:rPr>
          <w:rFonts w:cs="Calibri"/>
          <w:lang w:val="en-GB"/>
        </w:rPr>
        <w:t xml:space="preserve"> provide supported living care</w:t>
      </w:r>
      <w:r w:rsidRPr="00466D0F" w:rsidR="009C6E06">
        <w:rPr>
          <w:rFonts w:cs="Calibri"/>
          <w:lang w:val="en-GB"/>
        </w:rPr>
        <w:t>.</w:t>
      </w:r>
    </w:p>
    <w:p w:rsidRPr="00466D0F" w:rsidR="009A6722" w:rsidP="00F010DE" w:rsidRDefault="009A6722" w14:paraId="57E0F88A" w14:textId="2F159DB4">
      <w:pPr>
        <w:pStyle w:val="ListParagraph"/>
        <w:numPr>
          <w:ilvl w:val="0"/>
          <w:numId w:val="3"/>
        </w:numPr>
        <w:rPr>
          <w:rFonts w:cs="Calibri"/>
          <w:lang w:val="en-GB"/>
        </w:rPr>
      </w:pPr>
      <w:hyperlink w:tgtFrame="_blank" w:history="1" r:id="rId22">
        <w:r w:rsidRPr="00466D0F">
          <w:rPr>
            <w:rFonts w:cs="Calibri"/>
            <w:lang w:val="en-GB"/>
          </w:rPr>
          <w:t>5</w:t>
        </w:r>
      </w:hyperlink>
      <w:r w:rsidRPr="00466D0F">
        <w:rPr>
          <w:rFonts w:cs="Calibri"/>
          <w:lang w:val="en-GB"/>
        </w:rPr>
        <w:t xml:space="preserve"> locations </w:t>
      </w:r>
      <w:r w:rsidRPr="00466D0F" w:rsidR="009D418A">
        <w:rPr>
          <w:rFonts w:cs="Calibri"/>
          <w:lang w:val="en-GB"/>
        </w:rPr>
        <w:t>that</w:t>
      </w:r>
      <w:r w:rsidRPr="00466D0F">
        <w:rPr>
          <w:rFonts w:cs="Calibri"/>
          <w:lang w:val="en-GB"/>
        </w:rPr>
        <w:t xml:space="preserve"> provide extra care housing</w:t>
      </w:r>
      <w:r w:rsidRPr="00466D0F" w:rsidR="009C6E06">
        <w:rPr>
          <w:rFonts w:cs="Calibri"/>
          <w:lang w:val="en-GB"/>
        </w:rPr>
        <w:t>.</w:t>
      </w:r>
    </w:p>
    <w:p w:rsidRPr="00466D0F" w:rsidR="003D2BFE" w:rsidP="00F010DE" w:rsidRDefault="00CB0F76" w14:paraId="4768E89F" w14:textId="4924191F">
      <w:pPr>
        <w:rPr>
          <w:rFonts w:cs="Calibri"/>
          <w:lang w:val="en-GB"/>
        </w:rPr>
      </w:pPr>
      <w:r w:rsidRPr="00466D0F">
        <w:rPr>
          <w:rStyle w:val="Heading3Char"/>
          <w:rFonts w:ascii="Calibri" w:hAnsi="Calibri" w:cs="Calibri"/>
          <w:i/>
          <w:color w:val="auto"/>
          <w:lang w:val="en-GB"/>
        </w:rPr>
        <w:t>(Note: a</w:t>
      </w:r>
      <w:r w:rsidRPr="00466D0F" w:rsidR="005C590A">
        <w:rPr>
          <w:rStyle w:val="Heading3Char"/>
          <w:rFonts w:ascii="Calibri" w:hAnsi="Calibri" w:cs="Calibri"/>
          <w:i/>
          <w:color w:val="auto"/>
          <w:lang w:val="en-GB"/>
        </w:rPr>
        <w:t xml:space="preserve"> community</w:t>
      </w:r>
      <w:r w:rsidRPr="00466D0F">
        <w:rPr>
          <w:rStyle w:val="Heading3Char"/>
          <w:rFonts w:ascii="Calibri" w:hAnsi="Calibri" w:cs="Calibri"/>
          <w:i/>
          <w:color w:val="auto"/>
          <w:lang w:val="en-GB"/>
        </w:rPr>
        <w:t>-based</w:t>
      </w:r>
      <w:r w:rsidRPr="00466D0F" w:rsidR="005C590A">
        <w:rPr>
          <w:rStyle w:val="Heading3Char"/>
          <w:rFonts w:ascii="Calibri" w:hAnsi="Calibri" w:cs="Calibri"/>
          <w:i/>
          <w:color w:val="auto"/>
          <w:lang w:val="en-GB"/>
        </w:rPr>
        <w:t xml:space="preserve"> </w:t>
      </w:r>
      <w:r w:rsidRPr="00466D0F" w:rsidR="005E121A">
        <w:rPr>
          <w:rStyle w:val="Heading3Char"/>
          <w:rFonts w:ascii="Calibri" w:hAnsi="Calibri" w:cs="Calibri"/>
          <w:i/>
          <w:color w:val="auto"/>
          <w:lang w:val="en-GB"/>
        </w:rPr>
        <w:t>service may provide multiple care types</w:t>
      </w:r>
      <w:r w:rsidRPr="00466D0F">
        <w:rPr>
          <w:rStyle w:val="Heading3Char"/>
          <w:rFonts w:ascii="Calibri" w:hAnsi="Calibri" w:cs="Calibri"/>
          <w:i/>
          <w:color w:val="auto"/>
          <w:lang w:val="en-GB"/>
        </w:rPr>
        <w:t>)</w:t>
      </w:r>
      <w:r w:rsidRPr="00466D0F" w:rsidR="005C590A">
        <w:rPr>
          <w:rStyle w:val="Heading3Char"/>
          <w:rFonts w:ascii="Calibri" w:hAnsi="Calibri" w:cs="Calibri"/>
          <w:i/>
          <w:color w:val="auto"/>
          <w:lang w:val="en-GB"/>
        </w:rPr>
        <w:t>.</w:t>
      </w:r>
    </w:p>
    <w:p w:rsidRPr="00466D0F" w:rsidR="00520727" w:rsidP="00F010DE" w:rsidRDefault="00520727" w14:paraId="218F400A" w14:textId="59C5F2E2">
      <w:pPr>
        <w:rPr>
          <w:rFonts w:cs="Calibri"/>
          <w:lang w:val="en-GB"/>
        </w:rPr>
      </w:pPr>
    </w:p>
    <w:p w:rsidRPr="00466D0F" w:rsidR="00DE0466" w:rsidP="00F010DE" w:rsidRDefault="007535EB" w14:paraId="7C9787F1" w14:textId="35B27156">
      <w:pPr>
        <w:rPr>
          <w:rStyle w:val="Heading3Char"/>
          <w:rFonts w:ascii="Calibri" w:hAnsi="Calibri" w:cs="Calibri"/>
          <w:color w:val="auto"/>
          <w:lang w:val="en-GB"/>
        </w:rPr>
      </w:pPr>
      <w:r w:rsidRPr="00466D0F">
        <w:rPr>
          <w:rStyle w:val="Heading3Char"/>
          <w:rFonts w:ascii="Calibri" w:hAnsi="Calibri" w:cs="Calibri"/>
          <w:color w:val="auto"/>
          <w:lang w:val="en-GB"/>
        </w:rPr>
        <w:t xml:space="preserve">Of the care homes </w:t>
      </w:r>
      <w:r w:rsidRPr="00466D0F" w:rsidR="00752CED">
        <w:rPr>
          <w:rStyle w:val="Heading3Char"/>
          <w:rFonts w:ascii="Calibri" w:hAnsi="Calibri" w:cs="Calibri"/>
          <w:color w:val="auto"/>
          <w:lang w:val="en-GB"/>
        </w:rPr>
        <w:t>within the County</w:t>
      </w:r>
      <w:r w:rsidRPr="00466D0F">
        <w:rPr>
          <w:rStyle w:val="Heading3Char"/>
          <w:rFonts w:ascii="Calibri" w:hAnsi="Calibri" w:cs="Calibri"/>
          <w:color w:val="auto"/>
          <w:lang w:val="en-GB"/>
        </w:rPr>
        <w:t>:</w:t>
      </w:r>
    </w:p>
    <w:p w:rsidRPr="00466D0F" w:rsidR="005E1834" w:rsidP="00F010DE" w:rsidRDefault="005E1834" w14:paraId="255F3E67" w14:textId="1D153BC1">
      <w:pPr>
        <w:pStyle w:val="ListParagraph"/>
        <w:numPr>
          <w:ilvl w:val="0"/>
          <w:numId w:val="14"/>
        </w:numPr>
        <w:rPr>
          <w:rFonts w:cs="Calibri"/>
          <w:lang w:val="en-GB"/>
        </w:rPr>
      </w:pPr>
      <w:r w:rsidRPr="00466D0F">
        <w:rPr>
          <w:rFonts w:cs="Calibri"/>
          <w:lang w:val="en-GB"/>
        </w:rPr>
        <w:t>25.9% are small care homes with less than 10 beds.</w:t>
      </w:r>
    </w:p>
    <w:p w:rsidRPr="00466D0F" w:rsidR="005E1834" w:rsidP="00F010DE" w:rsidRDefault="005E1834" w14:paraId="51E9B76E" w14:textId="77777777">
      <w:pPr>
        <w:pStyle w:val="ListParagraph"/>
        <w:numPr>
          <w:ilvl w:val="0"/>
          <w:numId w:val="14"/>
        </w:numPr>
        <w:rPr>
          <w:rFonts w:cs="Calibri"/>
          <w:lang w:val="en-GB"/>
        </w:rPr>
      </w:pPr>
      <w:r w:rsidRPr="00466D0F">
        <w:rPr>
          <w:rFonts w:cs="Calibri"/>
          <w:lang w:val="en-GB"/>
        </w:rPr>
        <w:t>57.7% are medium care homes with between 10 and 60 beds.</w:t>
      </w:r>
    </w:p>
    <w:p w:rsidRPr="00466D0F" w:rsidR="00520727" w:rsidP="00F010DE" w:rsidRDefault="00520727" w14:paraId="3CD4245A" w14:textId="5D9F85C4">
      <w:pPr>
        <w:rPr>
          <w:rFonts w:cs="Calibri"/>
          <w:lang w:val="en-GB"/>
        </w:rPr>
      </w:pPr>
    </w:p>
    <w:p w:rsidRPr="00466D0F" w:rsidR="001B7104" w:rsidP="00F010DE" w:rsidRDefault="001B7104" w14:paraId="54E3A7D3" w14:textId="33603053">
      <w:pPr>
        <w:pStyle w:val="ListParagraph"/>
        <w:numPr>
          <w:ilvl w:val="0"/>
          <w:numId w:val="14"/>
        </w:numPr>
        <w:rPr>
          <w:rFonts w:cs="Calibri"/>
          <w:lang w:val="en-GB"/>
        </w:rPr>
      </w:pPr>
      <w:r w:rsidRPr="00466D0F">
        <w:rPr>
          <w:rFonts w:cs="Calibri"/>
          <w:lang w:val="en-GB"/>
        </w:rPr>
        <w:t>64 homes (</w:t>
      </w:r>
      <w:hyperlink w:tgtFrame="_blank" w:history="1" r:id="rId23">
        <w:r w:rsidRPr="00466D0F">
          <w:rPr>
            <w:rFonts w:cs="Calibri"/>
            <w:lang w:val="en-GB"/>
          </w:rPr>
          <w:t>31.8</w:t>
        </w:r>
      </w:hyperlink>
      <w:r w:rsidRPr="00466D0F">
        <w:rPr>
          <w:rFonts w:cs="Calibri"/>
          <w:lang w:val="en-GB"/>
        </w:rPr>
        <w:t xml:space="preserve">%) </w:t>
      </w:r>
      <w:r w:rsidRPr="00466D0F" w:rsidR="009732C0">
        <w:rPr>
          <w:rFonts w:cs="Calibri"/>
          <w:lang w:val="en-GB"/>
        </w:rPr>
        <w:t>are operated by a</w:t>
      </w:r>
      <w:r w:rsidRPr="00466D0F">
        <w:rPr>
          <w:rFonts w:cs="Calibri"/>
          <w:lang w:val="en-GB"/>
        </w:rPr>
        <w:t xml:space="preserve"> provider with a single location. </w:t>
      </w:r>
    </w:p>
    <w:p w:rsidRPr="00466D0F" w:rsidR="001B7104" w:rsidP="00F010DE" w:rsidRDefault="001B7104" w14:paraId="3CAA1C00" w14:textId="0C2AA8FC">
      <w:pPr>
        <w:pStyle w:val="ListParagraph"/>
        <w:numPr>
          <w:ilvl w:val="0"/>
          <w:numId w:val="14"/>
        </w:numPr>
        <w:rPr>
          <w:rFonts w:cs="Calibri"/>
          <w:lang w:val="en-GB"/>
        </w:rPr>
      </w:pPr>
      <w:r w:rsidRPr="00466D0F">
        <w:rPr>
          <w:rFonts w:cs="Calibri"/>
          <w:lang w:val="en-GB"/>
        </w:rPr>
        <w:t>93 homes (</w:t>
      </w:r>
      <w:hyperlink w:tgtFrame="_blank" w:history="1" r:id="rId24">
        <w:r w:rsidRPr="00466D0F">
          <w:rPr>
            <w:rFonts w:cs="Calibri"/>
            <w:lang w:val="en-GB"/>
          </w:rPr>
          <w:t>46.3</w:t>
        </w:r>
      </w:hyperlink>
      <w:r w:rsidRPr="00466D0F">
        <w:rPr>
          <w:rFonts w:cs="Calibri"/>
          <w:lang w:val="en-GB"/>
        </w:rPr>
        <w:t xml:space="preserve">%) </w:t>
      </w:r>
      <w:r w:rsidRPr="00466D0F" w:rsidR="009732C0">
        <w:rPr>
          <w:rFonts w:cs="Calibri"/>
          <w:lang w:val="en-GB"/>
        </w:rPr>
        <w:t xml:space="preserve">are operated by a provider </w:t>
      </w:r>
      <w:r w:rsidRPr="00466D0F">
        <w:rPr>
          <w:rFonts w:cs="Calibri"/>
          <w:lang w:val="en-GB"/>
        </w:rPr>
        <w:t>with between 2 and 10 locations.</w:t>
      </w:r>
    </w:p>
    <w:p w:rsidRPr="00466D0F" w:rsidR="001B7104" w:rsidP="00F010DE" w:rsidRDefault="001B7104" w14:paraId="711F13BC" w14:textId="60C3361F">
      <w:pPr>
        <w:pStyle w:val="ListParagraph"/>
        <w:numPr>
          <w:ilvl w:val="0"/>
          <w:numId w:val="14"/>
        </w:numPr>
        <w:rPr>
          <w:rFonts w:cs="Calibri"/>
          <w:lang w:val="en-GB"/>
        </w:rPr>
      </w:pPr>
      <w:r w:rsidRPr="00466D0F">
        <w:rPr>
          <w:rFonts w:cs="Calibri"/>
          <w:lang w:val="en-GB"/>
        </w:rPr>
        <w:t>6 homes (</w:t>
      </w:r>
      <w:hyperlink w:tgtFrame="_blank" w:history="1" r:id="rId25">
        <w:r w:rsidRPr="00466D0F">
          <w:rPr>
            <w:rFonts w:cs="Calibri"/>
            <w:lang w:val="en-GB"/>
          </w:rPr>
          <w:t>3.0</w:t>
        </w:r>
      </w:hyperlink>
      <w:r w:rsidRPr="00466D0F">
        <w:rPr>
          <w:rFonts w:cs="Calibri"/>
          <w:lang w:val="en-GB"/>
        </w:rPr>
        <w:t xml:space="preserve">%) </w:t>
      </w:r>
      <w:r w:rsidRPr="00466D0F" w:rsidR="009732C0">
        <w:rPr>
          <w:rFonts w:cs="Calibri"/>
          <w:lang w:val="en-GB"/>
        </w:rPr>
        <w:t xml:space="preserve">are operated by a provider </w:t>
      </w:r>
      <w:r w:rsidRPr="00466D0F">
        <w:rPr>
          <w:rFonts w:cs="Calibri"/>
          <w:lang w:val="en-GB"/>
        </w:rPr>
        <w:t>with between 21 and 50 locations.</w:t>
      </w:r>
    </w:p>
    <w:p w:rsidRPr="00466D0F" w:rsidR="001B7104" w:rsidP="00F010DE" w:rsidRDefault="001B7104" w14:paraId="504508C9" w14:textId="2B343515">
      <w:pPr>
        <w:pStyle w:val="ListParagraph"/>
        <w:numPr>
          <w:ilvl w:val="0"/>
          <w:numId w:val="14"/>
        </w:numPr>
        <w:rPr>
          <w:rFonts w:cs="Calibri"/>
          <w:lang w:val="en-GB"/>
        </w:rPr>
      </w:pPr>
      <w:r w:rsidRPr="00466D0F">
        <w:rPr>
          <w:rFonts w:cs="Calibri"/>
          <w:lang w:val="en-GB"/>
        </w:rPr>
        <w:t>36 homes (</w:t>
      </w:r>
      <w:hyperlink w:tgtFrame="_blank" w:history="1" r:id="rId26">
        <w:r w:rsidRPr="00466D0F">
          <w:rPr>
            <w:rFonts w:cs="Calibri"/>
            <w:lang w:val="en-GB"/>
          </w:rPr>
          <w:t>17.9</w:t>
        </w:r>
      </w:hyperlink>
      <w:r w:rsidRPr="00466D0F">
        <w:rPr>
          <w:rFonts w:cs="Calibri"/>
          <w:lang w:val="en-GB"/>
        </w:rPr>
        <w:t xml:space="preserve">%) </w:t>
      </w:r>
      <w:r w:rsidRPr="00466D0F" w:rsidR="009732C0">
        <w:rPr>
          <w:rFonts w:cs="Calibri"/>
          <w:lang w:val="en-GB"/>
        </w:rPr>
        <w:t xml:space="preserve">are operated by a provider </w:t>
      </w:r>
      <w:r w:rsidRPr="00466D0F">
        <w:rPr>
          <w:rFonts w:cs="Calibri"/>
          <w:lang w:val="en-GB"/>
        </w:rPr>
        <w:t>with more than 50 locations.</w:t>
      </w:r>
    </w:p>
    <w:p w:rsidRPr="00466D0F" w:rsidR="005634B9" w:rsidP="00F010DE" w:rsidRDefault="005634B9" w14:paraId="7601CC61" w14:textId="77777777">
      <w:pPr>
        <w:rPr>
          <w:rFonts w:cs="Calibri"/>
          <w:lang w:val="en-GB"/>
        </w:rPr>
      </w:pPr>
    </w:p>
    <w:p w:rsidRPr="00466D0F" w:rsidR="000D6DFF" w:rsidP="00F010DE" w:rsidRDefault="004D3EB0" w14:paraId="2FD6409E" w14:textId="5FA5B01C">
      <w:pPr>
        <w:rPr>
          <w:rStyle w:val="Heading3Char"/>
          <w:rFonts w:ascii="Calibri" w:hAnsi="Calibri" w:cs="Calibri"/>
          <w:color w:val="auto"/>
          <w:lang w:val="en-GB"/>
        </w:rPr>
      </w:pPr>
      <w:r w:rsidRPr="00466D0F">
        <w:rPr>
          <w:rStyle w:val="Heading3Char"/>
          <w:rFonts w:ascii="Calibri" w:hAnsi="Calibri" w:cs="Calibri"/>
          <w:color w:val="auto"/>
          <w:lang w:val="en-GB"/>
        </w:rPr>
        <w:t>Of the</w:t>
      </w:r>
      <w:r w:rsidRPr="00466D0F" w:rsidR="006446BC">
        <w:rPr>
          <w:rStyle w:val="Heading3Char"/>
          <w:rFonts w:ascii="Calibri" w:hAnsi="Calibri" w:cs="Calibri"/>
          <w:color w:val="auto"/>
          <w:lang w:val="en-GB"/>
        </w:rPr>
        <w:t xml:space="preserve"> regulated</w:t>
      </w:r>
      <w:r w:rsidRPr="00466D0F">
        <w:rPr>
          <w:rStyle w:val="Heading3Char"/>
          <w:rFonts w:ascii="Calibri" w:hAnsi="Calibri" w:cs="Calibri"/>
          <w:color w:val="auto"/>
          <w:lang w:val="en-GB"/>
        </w:rPr>
        <w:t xml:space="preserve"> community services within the County:</w:t>
      </w:r>
    </w:p>
    <w:p w:rsidRPr="00466D0F" w:rsidR="00FB7970" w:rsidP="00F010DE" w:rsidRDefault="00FB7970" w14:paraId="628DEE70" w14:textId="5FF37B67">
      <w:pPr>
        <w:pStyle w:val="ListParagraph"/>
        <w:numPr>
          <w:ilvl w:val="0"/>
          <w:numId w:val="15"/>
        </w:numPr>
        <w:rPr>
          <w:rFonts w:cs="Calibri"/>
          <w:lang w:val="en-GB"/>
        </w:rPr>
      </w:pPr>
      <w:r w:rsidRPr="00466D0F">
        <w:rPr>
          <w:rFonts w:cs="Calibri"/>
          <w:lang w:val="en-GB"/>
        </w:rPr>
        <w:t>110 (</w:t>
      </w:r>
      <w:hyperlink w:tgtFrame="_blank" w:history="1" r:id="rId27">
        <w:r w:rsidRPr="00466D0F">
          <w:rPr>
            <w:rFonts w:cs="Calibri"/>
            <w:lang w:val="en-GB"/>
          </w:rPr>
          <w:t>56.4</w:t>
        </w:r>
      </w:hyperlink>
      <w:r w:rsidRPr="00466D0F">
        <w:rPr>
          <w:rFonts w:cs="Calibri"/>
          <w:lang w:val="en-GB"/>
        </w:rPr>
        <w:t xml:space="preserve">%) </w:t>
      </w:r>
      <w:r w:rsidRPr="00466D0F" w:rsidR="00B7188E">
        <w:rPr>
          <w:rFonts w:cs="Calibri"/>
          <w:lang w:val="en-GB"/>
        </w:rPr>
        <w:t>services</w:t>
      </w:r>
      <w:r w:rsidRPr="00466D0F">
        <w:rPr>
          <w:rFonts w:cs="Calibri"/>
          <w:lang w:val="en-GB"/>
        </w:rPr>
        <w:t xml:space="preserve"> </w:t>
      </w:r>
      <w:r w:rsidRPr="00466D0F" w:rsidR="00C302DE">
        <w:rPr>
          <w:rFonts w:cs="Calibri"/>
          <w:lang w:val="en-GB"/>
        </w:rPr>
        <w:t>are operated by a</w:t>
      </w:r>
      <w:r w:rsidRPr="00466D0F">
        <w:rPr>
          <w:rFonts w:cs="Calibri"/>
          <w:lang w:val="en-GB"/>
        </w:rPr>
        <w:t xml:space="preserve"> provider with a single location. </w:t>
      </w:r>
    </w:p>
    <w:p w:rsidRPr="00466D0F" w:rsidR="00FB7970" w:rsidP="00F010DE" w:rsidRDefault="00FB7970" w14:paraId="7A011C7F" w14:textId="29067521">
      <w:pPr>
        <w:pStyle w:val="ListParagraph"/>
        <w:numPr>
          <w:ilvl w:val="0"/>
          <w:numId w:val="15"/>
        </w:numPr>
        <w:rPr>
          <w:rFonts w:cs="Calibri"/>
          <w:lang w:val="en-GB"/>
        </w:rPr>
      </w:pPr>
      <w:r w:rsidRPr="00466D0F">
        <w:rPr>
          <w:rFonts w:cs="Calibri"/>
          <w:lang w:val="en-GB"/>
        </w:rPr>
        <w:t>60 (</w:t>
      </w:r>
      <w:hyperlink w:tgtFrame="_blank" w:history="1" r:id="rId28">
        <w:r w:rsidRPr="00466D0F">
          <w:rPr>
            <w:rFonts w:cs="Calibri"/>
            <w:lang w:val="en-GB"/>
          </w:rPr>
          <w:t>30.8</w:t>
        </w:r>
      </w:hyperlink>
      <w:r w:rsidRPr="00466D0F">
        <w:rPr>
          <w:rFonts w:cs="Calibri"/>
          <w:lang w:val="en-GB"/>
        </w:rPr>
        <w:t xml:space="preserve">%) </w:t>
      </w:r>
      <w:r w:rsidRPr="00466D0F" w:rsidR="00B7188E">
        <w:rPr>
          <w:rFonts w:cs="Calibri"/>
          <w:lang w:val="en-GB"/>
        </w:rPr>
        <w:t xml:space="preserve">services are operated by a provider </w:t>
      </w:r>
      <w:r w:rsidRPr="00466D0F">
        <w:rPr>
          <w:rFonts w:cs="Calibri"/>
          <w:lang w:val="en-GB"/>
        </w:rPr>
        <w:t>with between 2 and 10 locations.</w:t>
      </w:r>
    </w:p>
    <w:p w:rsidRPr="00466D0F" w:rsidR="00FB7970" w:rsidP="00F010DE" w:rsidRDefault="00FB7970" w14:paraId="17AF1DDD" w14:textId="5A6ED03B">
      <w:pPr>
        <w:pStyle w:val="ListParagraph"/>
        <w:numPr>
          <w:ilvl w:val="0"/>
          <w:numId w:val="15"/>
        </w:numPr>
        <w:rPr>
          <w:rFonts w:cs="Calibri"/>
          <w:lang w:val="en-GB"/>
        </w:rPr>
      </w:pPr>
      <w:r w:rsidRPr="00466D0F">
        <w:rPr>
          <w:rFonts w:cs="Calibri"/>
          <w:lang w:val="en-GB"/>
        </w:rPr>
        <w:t>5 (</w:t>
      </w:r>
      <w:hyperlink w:tgtFrame="_blank" w:history="1" r:id="rId29">
        <w:r w:rsidRPr="00466D0F">
          <w:rPr>
            <w:rFonts w:cs="Calibri"/>
            <w:lang w:val="en-GB"/>
          </w:rPr>
          <w:t>2.6</w:t>
        </w:r>
      </w:hyperlink>
      <w:r w:rsidRPr="00466D0F">
        <w:rPr>
          <w:rFonts w:cs="Calibri"/>
          <w:lang w:val="en-GB"/>
        </w:rPr>
        <w:t xml:space="preserve">%) </w:t>
      </w:r>
      <w:r w:rsidRPr="00466D0F" w:rsidR="00B7188E">
        <w:rPr>
          <w:rFonts w:cs="Calibri"/>
          <w:lang w:val="en-GB"/>
        </w:rPr>
        <w:t xml:space="preserve">services are operated by a provider </w:t>
      </w:r>
      <w:r w:rsidRPr="00466D0F">
        <w:rPr>
          <w:rFonts w:cs="Calibri"/>
          <w:lang w:val="en-GB"/>
        </w:rPr>
        <w:t>with between 11 and 20 locations.</w:t>
      </w:r>
    </w:p>
    <w:p w:rsidRPr="00466D0F" w:rsidR="00FB7970" w:rsidP="00F010DE" w:rsidRDefault="00FB7970" w14:paraId="34196627" w14:textId="2A852F77">
      <w:pPr>
        <w:pStyle w:val="ListParagraph"/>
        <w:numPr>
          <w:ilvl w:val="0"/>
          <w:numId w:val="15"/>
        </w:numPr>
        <w:rPr>
          <w:rFonts w:cs="Calibri"/>
          <w:lang w:val="en-GB"/>
        </w:rPr>
      </w:pPr>
      <w:r w:rsidRPr="00466D0F">
        <w:rPr>
          <w:rFonts w:cs="Calibri"/>
          <w:lang w:val="en-GB"/>
        </w:rPr>
        <w:t>6 (</w:t>
      </w:r>
      <w:hyperlink w:tgtFrame="_blank" w:history="1" r:id="rId30">
        <w:r w:rsidRPr="00466D0F">
          <w:rPr>
            <w:rFonts w:cs="Calibri"/>
            <w:lang w:val="en-GB"/>
          </w:rPr>
          <w:t>3.1</w:t>
        </w:r>
      </w:hyperlink>
      <w:r w:rsidRPr="00466D0F">
        <w:rPr>
          <w:rFonts w:cs="Calibri"/>
          <w:lang w:val="en-GB"/>
        </w:rPr>
        <w:t xml:space="preserve">%) </w:t>
      </w:r>
      <w:r w:rsidRPr="00466D0F" w:rsidR="00B7188E">
        <w:rPr>
          <w:rFonts w:cs="Calibri"/>
          <w:lang w:val="en-GB"/>
        </w:rPr>
        <w:t xml:space="preserve">services are operated by a provider </w:t>
      </w:r>
      <w:r w:rsidRPr="00466D0F">
        <w:rPr>
          <w:rFonts w:cs="Calibri"/>
          <w:lang w:val="en-GB"/>
        </w:rPr>
        <w:t>with between 21 and 50 locations.</w:t>
      </w:r>
    </w:p>
    <w:p w:rsidRPr="00466D0F" w:rsidR="00326152" w:rsidP="00F010DE" w:rsidRDefault="00FB7970" w14:paraId="732230EA" w14:textId="3843E991">
      <w:pPr>
        <w:pStyle w:val="ListParagraph"/>
        <w:numPr>
          <w:ilvl w:val="0"/>
          <w:numId w:val="15"/>
        </w:numPr>
        <w:rPr>
          <w:rFonts w:cs="Calibri"/>
          <w:lang w:val="en-GB"/>
        </w:rPr>
      </w:pPr>
      <w:r w:rsidRPr="00466D0F">
        <w:rPr>
          <w:rFonts w:cs="Calibri"/>
          <w:lang w:val="en-GB"/>
        </w:rPr>
        <w:t>14 (</w:t>
      </w:r>
      <w:hyperlink w:tgtFrame="_blank" w:history="1" r:id="rId31">
        <w:r w:rsidRPr="00466D0F">
          <w:rPr>
            <w:rFonts w:cs="Calibri"/>
            <w:lang w:val="en-GB"/>
          </w:rPr>
          <w:t>7.2</w:t>
        </w:r>
      </w:hyperlink>
      <w:r w:rsidRPr="00466D0F">
        <w:rPr>
          <w:rFonts w:cs="Calibri"/>
          <w:lang w:val="en-GB"/>
        </w:rPr>
        <w:t xml:space="preserve">%) </w:t>
      </w:r>
      <w:r w:rsidRPr="00466D0F" w:rsidR="00B7188E">
        <w:rPr>
          <w:rFonts w:cs="Calibri"/>
          <w:lang w:val="en-GB"/>
        </w:rPr>
        <w:t xml:space="preserve">services are operated by a provider </w:t>
      </w:r>
      <w:r w:rsidRPr="00466D0F">
        <w:rPr>
          <w:rFonts w:cs="Calibri"/>
          <w:lang w:val="en-GB"/>
        </w:rPr>
        <w:t>with more than 50 locations.</w:t>
      </w:r>
    </w:p>
    <w:p w:rsidRPr="00466D0F" w:rsidR="00C20DD2" w:rsidP="00F010DE" w:rsidRDefault="00C20DD2" w14:paraId="122126F9" w14:textId="77777777">
      <w:pPr>
        <w:rPr>
          <w:rFonts w:cs="Calibri"/>
          <w:lang w:val="en-GB"/>
        </w:rPr>
      </w:pPr>
    </w:p>
    <w:p w:rsidRPr="00466D0F" w:rsidR="00C20DD2" w:rsidP="00F010DE" w:rsidRDefault="002000EE" w14:paraId="5F16FA88" w14:textId="7FDA4104">
      <w:pPr>
        <w:rPr>
          <w:rFonts w:cs="Calibri"/>
          <w:lang w:val="en-GB"/>
        </w:rPr>
      </w:pPr>
      <w:r w:rsidRPr="00466D0F">
        <w:rPr>
          <w:rFonts w:cs="Calibri"/>
          <w:lang w:val="en-GB"/>
        </w:rPr>
        <w:t xml:space="preserve">Of the </w:t>
      </w:r>
      <w:r w:rsidRPr="00466D0F" w:rsidR="003C53AA">
        <w:rPr>
          <w:rFonts w:cs="Calibri"/>
          <w:lang w:val="en-GB"/>
        </w:rPr>
        <w:t xml:space="preserve">commissioned </w:t>
      </w:r>
      <w:r w:rsidRPr="00466D0F">
        <w:rPr>
          <w:rFonts w:cs="Calibri"/>
          <w:lang w:val="en-GB"/>
        </w:rPr>
        <w:t xml:space="preserve">day services operating </w:t>
      </w:r>
      <w:r w:rsidRPr="00466D0F" w:rsidR="00C20DD2">
        <w:rPr>
          <w:rFonts w:cs="Calibri"/>
          <w:lang w:val="en-GB"/>
        </w:rPr>
        <w:t>within the County</w:t>
      </w:r>
      <w:r w:rsidRPr="00466D0F">
        <w:rPr>
          <w:rFonts w:cs="Calibri"/>
          <w:lang w:val="en-GB"/>
        </w:rPr>
        <w:t>:</w:t>
      </w:r>
    </w:p>
    <w:p w:rsidRPr="00466D0F" w:rsidR="00C20DD2" w:rsidP="00F010DE" w:rsidRDefault="001F4B9D" w14:paraId="0F2D0605" w14:textId="792BD32F">
      <w:pPr>
        <w:pStyle w:val="ListParagraph"/>
        <w:numPr>
          <w:ilvl w:val="0"/>
          <w:numId w:val="16"/>
        </w:numPr>
        <w:rPr>
          <w:rFonts w:cs="Calibri"/>
          <w:kern w:val="2"/>
          <w:lang w:val="en-GB" w:eastAsia="en-GB"/>
          <w14:ligatures w14:val="standardContextual"/>
        </w:rPr>
      </w:pPr>
      <w:r w:rsidRPr="00466D0F">
        <w:rPr>
          <w:rFonts w:cs="Calibri"/>
          <w:kern w:val="2"/>
          <w:lang w:val="en-GB" w:eastAsia="en-GB"/>
          <w14:ligatures w14:val="standardContextual"/>
        </w:rPr>
        <w:t>7 (1.1%) are provided by Gloucestershire County Council</w:t>
      </w:r>
    </w:p>
    <w:p w:rsidRPr="00466D0F" w:rsidR="001F4B9D" w:rsidP="00F010DE" w:rsidRDefault="00AB3895" w14:paraId="57D1ECB6" w14:textId="70E11A59">
      <w:pPr>
        <w:pStyle w:val="ListParagraph"/>
        <w:numPr>
          <w:ilvl w:val="0"/>
          <w:numId w:val="16"/>
        </w:numPr>
        <w:rPr>
          <w:rFonts w:cs="Calibri"/>
          <w:kern w:val="2"/>
          <w:lang w:val="en-GB" w:eastAsia="en-GB"/>
          <w14:ligatures w14:val="standardContextual"/>
        </w:rPr>
      </w:pPr>
      <w:r w:rsidRPr="00466D0F">
        <w:rPr>
          <w:rFonts w:cs="Calibri"/>
          <w:kern w:val="2"/>
          <w:lang w:val="en-GB" w:eastAsia="en-GB"/>
          <w14:ligatures w14:val="standardContextual"/>
        </w:rPr>
        <w:t>25 (61.0%) are Voluntary/Community sector</w:t>
      </w:r>
    </w:p>
    <w:p w:rsidRPr="00466D0F" w:rsidR="00AB3895" w:rsidP="00F010DE" w:rsidRDefault="00AB3895" w14:paraId="73A00F05" w14:textId="675D3FE0">
      <w:pPr>
        <w:pStyle w:val="ListParagraph"/>
        <w:numPr>
          <w:ilvl w:val="0"/>
          <w:numId w:val="16"/>
        </w:numPr>
        <w:rPr>
          <w:rFonts w:cs="Calibri"/>
          <w:kern w:val="2"/>
          <w:lang w:val="en-GB" w:eastAsia="en-GB"/>
          <w14:ligatures w14:val="standardContextual"/>
        </w:rPr>
      </w:pPr>
      <w:r w:rsidRPr="00466D0F">
        <w:rPr>
          <w:rFonts w:cs="Calibri"/>
          <w:kern w:val="2"/>
          <w:lang w:val="en-GB" w:eastAsia="en-GB"/>
          <w14:ligatures w14:val="standardContextual"/>
        </w:rPr>
        <w:t>9 (21.9%</w:t>
      </w:r>
      <w:r w:rsidRPr="00466D0F" w:rsidR="005367A2">
        <w:rPr>
          <w:rFonts w:cs="Calibri"/>
          <w:kern w:val="2"/>
          <w:lang w:val="en-GB" w:eastAsia="en-GB"/>
          <w14:ligatures w14:val="standardContextual"/>
        </w:rPr>
        <w:t>)</w:t>
      </w:r>
      <w:r w:rsidRPr="00466D0F">
        <w:rPr>
          <w:rFonts w:cs="Calibri"/>
          <w:kern w:val="2"/>
          <w:lang w:val="en-GB" w:eastAsia="en-GB"/>
          <w14:ligatures w14:val="standardContextual"/>
        </w:rPr>
        <w:t xml:space="preserve"> are privately funded</w:t>
      </w:r>
    </w:p>
    <w:p w:rsidRPr="00466D0F" w:rsidR="005367A2" w:rsidP="00F010DE" w:rsidRDefault="005367A2" w14:paraId="55D5CB58" w14:textId="77777777">
      <w:pPr>
        <w:pStyle w:val="ListParagraph"/>
        <w:rPr>
          <w:rFonts w:cs="Calibri"/>
          <w:kern w:val="2"/>
          <w:lang w:val="en-GB" w:eastAsia="en-GB"/>
          <w14:ligatures w14:val="standardContextual"/>
        </w:rPr>
      </w:pPr>
    </w:p>
    <w:p w:rsidRPr="00466D0F" w:rsidR="002000EE" w:rsidP="00F010DE" w:rsidRDefault="005367A2" w14:paraId="7C16B36B" w14:textId="30640123">
      <w:pPr>
        <w:pStyle w:val="ListParagraph"/>
        <w:numPr>
          <w:ilvl w:val="0"/>
          <w:numId w:val="4"/>
        </w:numPr>
        <w:rPr>
          <w:rFonts w:cs="Calibri"/>
          <w:kern w:val="2"/>
          <w:lang w:val="en-GB" w:eastAsia="en-GB"/>
          <w14:ligatures w14:val="standardContextual"/>
        </w:rPr>
      </w:pPr>
      <w:r w:rsidRPr="00466D0F">
        <w:rPr>
          <w:rFonts w:cs="Calibri"/>
          <w:lang w:val="en-GB"/>
        </w:rPr>
        <w:t>11 (26.8%)</w:t>
      </w:r>
      <w:r w:rsidRPr="00466D0F" w:rsidR="002000EE">
        <w:rPr>
          <w:rFonts w:cs="Calibri"/>
          <w:lang w:val="en-GB"/>
        </w:rPr>
        <w:t xml:space="preserve"> support working-age adults with learning disabilities</w:t>
      </w:r>
      <w:r w:rsidRPr="00466D0F" w:rsidR="002657D8">
        <w:rPr>
          <w:rFonts w:cs="Calibri"/>
          <w:lang w:val="en-GB"/>
        </w:rPr>
        <w:t xml:space="preserve"> and autism</w:t>
      </w:r>
    </w:p>
    <w:p w:rsidRPr="00466D0F" w:rsidR="002000EE" w:rsidP="00F010DE" w:rsidRDefault="002657D8" w14:paraId="0DEE182B" w14:textId="0E3376EB">
      <w:pPr>
        <w:pStyle w:val="ListParagraph"/>
        <w:numPr>
          <w:ilvl w:val="0"/>
          <w:numId w:val="4"/>
        </w:numPr>
        <w:rPr>
          <w:rFonts w:cs="Calibri"/>
          <w:lang w:val="en-GB"/>
        </w:rPr>
      </w:pPr>
      <w:r w:rsidRPr="00466D0F">
        <w:rPr>
          <w:rFonts w:cs="Calibri"/>
          <w:lang w:val="en-GB"/>
        </w:rPr>
        <w:t>10 (24.4%)</w:t>
      </w:r>
      <w:r w:rsidRPr="00466D0F" w:rsidR="002000EE">
        <w:rPr>
          <w:rFonts w:cs="Calibri"/>
          <w:lang w:val="en-GB"/>
        </w:rPr>
        <w:t xml:space="preserve"> support working-age adults with physical disabilities</w:t>
      </w:r>
    </w:p>
    <w:p w:rsidRPr="00466D0F" w:rsidR="002000EE" w:rsidP="00F010DE" w:rsidRDefault="00441AB5" w14:paraId="0221ECB0" w14:textId="02342E66">
      <w:pPr>
        <w:pStyle w:val="ListParagraph"/>
        <w:numPr>
          <w:ilvl w:val="0"/>
          <w:numId w:val="4"/>
        </w:numPr>
        <w:rPr>
          <w:rFonts w:cs="Calibri"/>
          <w:lang w:val="en-GB"/>
        </w:rPr>
      </w:pPr>
      <w:r w:rsidRPr="00466D0F">
        <w:rPr>
          <w:rFonts w:cs="Calibri"/>
          <w:lang w:val="en-GB"/>
        </w:rPr>
        <w:t>7 (17.1%)</w:t>
      </w:r>
      <w:r w:rsidRPr="00466D0F" w:rsidR="002000EE">
        <w:rPr>
          <w:rFonts w:cs="Calibri"/>
          <w:lang w:val="en-GB"/>
        </w:rPr>
        <w:t xml:space="preserve"> support working-age adults with </w:t>
      </w:r>
      <w:r w:rsidRPr="00466D0F">
        <w:rPr>
          <w:rFonts w:cs="Calibri"/>
          <w:lang w:val="en-GB"/>
        </w:rPr>
        <w:t xml:space="preserve">complex or </w:t>
      </w:r>
      <w:r w:rsidRPr="00466D0F" w:rsidR="002000EE">
        <w:rPr>
          <w:rFonts w:cs="Calibri"/>
          <w:lang w:val="en-GB"/>
        </w:rPr>
        <w:t>mental health needs</w:t>
      </w:r>
    </w:p>
    <w:p w:rsidRPr="00466D0F" w:rsidR="002000EE" w:rsidP="00F010DE" w:rsidRDefault="00737175" w14:paraId="6A81BEDA" w14:textId="0FD8AC72">
      <w:pPr>
        <w:pStyle w:val="ListParagraph"/>
        <w:numPr>
          <w:ilvl w:val="0"/>
          <w:numId w:val="4"/>
        </w:numPr>
        <w:rPr>
          <w:rFonts w:cs="Calibri"/>
          <w:lang w:val="en-GB"/>
        </w:rPr>
      </w:pPr>
      <w:r w:rsidRPr="00466D0F">
        <w:rPr>
          <w:rFonts w:cs="Calibri"/>
          <w:lang w:val="en-GB"/>
        </w:rPr>
        <w:t>13 (31.7%)</w:t>
      </w:r>
      <w:r w:rsidRPr="00466D0F" w:rsidR="002000EE">
        <w:rPr>
          <w:rFonts w:cs="Calibri"/>
          <w:lang w:val="en-GB"/>
        </w:rPr>
        <w:t xml:space="preserve"> support older people</w:t>
      </w:r>
      <w:r w:rsidRPr="00466D0F">
        <w:rPr>
          <w:rFonts w:cs="Calibri"/>
          <w:lang w:val="en-GB"/>
        </w:rPr>
        <w:t xml:space="preserve"> (65+)</w:t>
      </w:r>
    </w:p>
    <w:p w:rsidRPr="00466D0F" w:rsidR="6941BC2E" w:rsidP="00F010DE" w:rsidRDefault="6941BC2E" w14:paraId="4DBC08C1" w14:textId="0B2F8146">
      <w:pPr>
        <w:rPr>
          <w:rFonts w:cs="Calibri"/>
          <w:lang w:val="en-GB"/>
        </w:rPr>
      </w:pPr>
    </w:p>
    <w:p w:rsidR="003904F9" w:rsidP="00F010DE" w:rsidRDefault="003904F9" w14:paraId="6AF632D8" w14:textId="77777777">
      <w:pPr>
        <w:rPr>
          <w:rFonts w:cs="Calibri"/>
          <w:lang w:val="en-GB"/>
        </w:rPr>
      </w:pPr>
      <w:r>
        <w:rPr>
          <w:rFonts w:cs="Calibri"/>
          <w:lang w:val="en-GB"/>
        </w:rPr>
        <w:br w:type="page"/>
      </w:r>
    </w:p>
    <w:p w:rsidR="00EF623E" w:rsidP="00F010DE" w:rsidRDefault="00EF623E" w14:paraId="68BF604E" w14:textId="63B32743">
      <w:pPr>
        <w:rPr>
          <w:rFonts w:cs="Calibri"/>
          <w:lang w:val="en-GB"/>
        </w:rPr>
      </w:pPr>
      <w:r w:rsidRPr="00466D0F">
        <w:rPr>
          <w:rFonts w:cs="Calibri"/>
          <w:lang w:val="en-GB"/>
        </w:rPr>
        <w:t>Commissioned Packages</w:t>
      </w:r>
    </w:p>
    <w:p w:rsidRPr="00466D0F" w:rsidR="003904F9" w:rsidP="00F010DE" w:rsidRDefault="003904F9" w14:paraId="41ECCA52" w14:textId="77777777">
      <w:pPr>
        <w:rPr>
          <w:rFonts w:cs="Calibri"/>
          <w:lang w:val="en-GB"/>
        </w:rPr>
      </w:pPr>
    </w:p>
    <w:tbl>
      <w:tblPr>
        <w:tblpPr w:leftFromText="180" w:rightFromText="180" w:vertAnchor="text" w:tblpY="1"/>
        <w:tblOverlap w:val="never"/>
        <w:tblW w:w="9078" w:type="dxa"/>
        <w:tblLook w:val="04A0" w:firstRow="1" w:lastRow="0" w:firstColumn="1" w:lastColumn="0" w:noHBand="0" w:noVBand="1"/>
      </w:tblPr>
      <w:tblGrid>
        <w:gridCol w:w="3261"/>
        <w:gridCol w:w="1554"/>
        <w:gridCol w:w="1984"/>
        <w:gridCol w:w="2279"/>
      </w:tblGrid>
      <w:tr w:rsidRPr="00466D0F" w:rsidR="00EF623E" w:rsidTr="1EFEB1A2" w14:paraId="27CD4EEF" w14:textId="77777777">
        <w:trPr>
          <w:trHeight w:val="268"/>
        </w:trPr>
        <w:tc>
          <w:tcPr>
            <w:tcW w:w="3261"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215C98"/>
            <w:noWrap/>
            <w:vAlign w:val="center"/>
            <w:hideMark/>
          </w:tcPr>
          <w:p w:rsidRPr="00466D0F" w:rsidR="00EF623E" w:rsidP="00F010DE" w:rsidRDefault="00EF623E" w14:paraId="64FC0BAB" w14:textId="77777777">
            <w:pPr>
              <w:rPr>
                <w:rFonts w:cs="Calibri"/>
                <w:lang w:val="en-GB" w:eastAsia="en-GB"/>
              </w:rPr>
            </w:pPr>
            <w:r w:rsidRPr="00466D0F">
              <w:rPr>
                <w:rFonts w:cs="Calibri"/>
                <w:lang w:val="en-GB" w:eastAsia="en-GB"/>
              </w:rPr>
              <w:t>No. Registered Providers</w:t>
            </w:r>
          </w:p>
        </w:tc>
        <w:tc>
          <w:tcPr>
            <w:tcW w:w="1554" w:type="dxa"/>
            <w:tcBorders>
              <w:top w:val="single" w:color="FFFFFF" w:themeColor="background1" w:sz="4" w:space="0"/>
              <w:left w:val="nil"/>
              <w:bottom w:val="single" w:color="FFFFFF" w:themeColor="background1" w:sz="4" w:space="0"/>
              <w:right w:val="single" w:color="FFFFFF" w:themeColor="background1" w:sz="4" w:space="0"/>
            </w:tcBorders>
            <w:shd w:val="clear" w:color="auto" w:fill="215C98"/>
            <w:noWrap/>
            <w:vAlign w:val="center"/>
            <w:hideMark/>
          </w:tcPr>
          <w:p w:rsidRPr="00466D0F" w:rsidR="00EF623E" w:rsidP="00F010DE" w:rsidRDefault="00EF623E" w14:paraId="34588733" w14:textId="77777777">
            <w:pPr>
              <w:rPr>
                <w:rFonts w:cs="Calibri"/>
                <w:lang w:val="en-GB" w:eastAsia="en-GB"/>
              </w:rPr>
            </w:pPr>
            <w:r w:rsidRPr="00466D0F">
              <w:rPr>
                <w:rFonts w:cs="Calibri"/>
                <w:lang w:val="en-GB" w:eastAsia="en-GB"/>
              </w:rPr>
              <w:t>April 2025</w:t>
            </w:r>
          </w:p>
        </w:tc>
        <w:tc>
          <w:tcPr>
            <w:tcW w:w="1984" w:type="dxa"/>
            <w:tcBorders>
              <w:top w:val="single" w:color="FFFFFF" w:themeColor="background1" w:sz="4" w:space="0"/>
              <w:left w:val="nil"/>
              <w:bottom w:val="single" w:color="FFFFFF" w:themeColor="background1" w:sz="4" w:space="0"/>
              <w:right w:val="single" w:color="FFFFFF" w:themeColor="background1" w:sz="4" w:space="0"/>
            </w:tcBorders>
            <w:shd w:val="clear" w:color="auto" w:fill="215C98"/>
            <w:noWrap/>
            <w:vAlign w:val="center"/>
            <w:hideMark/>
          </w:tcPr>
          <w:p w:rsidRPr="00466D0F" w:rsidR="00EF623E" w:rsidP="00F010DE" w:rsidRDefault="00EF623E" w14:paraId="43476E78" w14:textId="77777777">
            <w:pPr>
              <w:rPr>
                <w:rFonts w:cs="Calibri"/>
                <w:lang w:val="en-GB" w:eastAsia="en-GB"/>
              </w:rPr>
            </w:pPr>
            <w:r w:rsidRPr="00466D0F">
              <w:rPr>
                <w:rFonts w:cs="Calibri"/>
                <w:lang w:val="en-GB" w:eastAsia="en-GB"/>
              </w:rPr>
              <w:t>April 2026</w:t>
            </w:r>
          </w:p>
        </w:tc>
        <w:tc>
          <w:tcPr>
            <w:tcW w:w="2279" w:type="dxa"/>
            <w:tcBorders>
              <w:top w:val="single" w:color="FFFFFF" w:themeColor="background1" w:sz="4" w:space="0"/>
              <w:left w:val="nil"/>
              <w:bottom w:val="single" w:color="FFFFFF" w:themeColor="background1" w:sz="4" w:space="0"/>
              <w:right w:val="single" w:color="FFFFFF" w:themeColor="background1" w:sz="4" w:space="0"/>
            </w:tcBorders>
            <w:shd w:val="clear" w:color="auto" w:fill="215C98"/>
            <w:noWrap/>
            <w:vAlign w:val="center"/>
            <w:hideMark/>
          </w:tcPr>
          <w:p w:rsidRPr="00466D0F" w:rsidR="00EF623E" w:rsidP="00F010DE" w:rsidRDefault="00EF623E" w14:paraId="2665BB40" w14:textId="77777777">
            <w:pPr>
              <w:rPr>
                <w:rFonts w:cs="Calibri"/>
                <w:lang w:val="en-GB" w:eastAsia="en-GB"/>
              </w:rPr>
            </w:pPr>
            <w:r w:rsidRPr="00466D0F">
              <w:rPr>
                <w:rFonts w:cs="Calibri"/>
                <w:lang w:val="en-GB" w:eastAsia="en-GB"/>
              </w:rPr>
              <w:t>Growth/Reduction %</w:t>
            </w:r>
          </w:p>
        </w:tc>
      </w:tr>
      <w:tr w:rsidRPr="00466D0F" w:rsidR="00EF623E" w:rsidTr="1EFEB1A2" w14:paraId="6C36F4B8" w14:textId="77777777">
        <w:trPr>
          <w:trHeight w:val="300"/>
        </w:trPr>
        <w:tc>
          <w:tcPr>
            <w:tcW w:w="3261" w:type="dxa"/>
            <w:tcBorders>
              <w:top w:val="nil"/>
              <w:left w:val="single" w:color="FFFFFF" w:themeColor="background1" w:sz="4" w:space="0"/>
              <w:bottom w:val="single" w:color="FFFFFF" w:themeColor="background1" w:sz="4" w:space="0"/>
              <w:right w:val="single" w:color="FFFFFF" w:themeColor="background1" w:sz="4" w:space="0"/>
            </w:tcBorders>
            <w:shd w:val="clear" w:color="auto" w:fill="C1E4F5" w:themeFill="accent1" w:themeFillTint="33"/>
            <w:noWrap/>
            <w:vAlign w:val="center"/>
            <w:hideMark/>
          </w:tcPr>
          <w:p w:rsidRPr="00466D0F" w:rsidR="00EF623E" w:rsidP="00F010DE" w:rsidRDefault="00EF623E" w14:paraId="0A59E1A6" w14:textId="135F3CFC">
            <w:pPr>
              <w:rPr>
                <w:rFonts w:cs="Calibri"/>
                <w:lang w:val="en-GB" w:eastAsia="en-GB"/>
              </w:rPr>
            </w:pPr>
            <w:r w:rsidRPr="00466D0F">
              <w:rPr>
                <w:rFonts w:cs="Calibri"/>
                <w:lang w:val="en-GB" w:eastAsia="en-GB"/>
              </w:rPr>
              <w:t xml:space="preserve">Bed Based </w:t>
            </w:r>
          </w:p>
        </w:tc>
        <w:tc>
          <w:tcPr>
            <w:tcW w:w="1554" w:type="dxa"/>
            <w:tcBorders>
              <w:top w:val="nil"/>
              <w:left w:val="nil"/>
              <w:bottom w:val="single" w:color="FFFFFF" w:themeColor="background1" w:sz="4" w:space="0"/>
              <w:right w:val="single" w:color="FFFFFF" w:themeColor="background1" w:sz="4" w:space="0"/>
            </w:tcBorders>
            <w:shd w:val="clear" w:color="auto" w:fill="C1E4F5" w:themeFill="accent1" w:themeFillTint="33"/>
            <w:noWrap/>
            <w:vAlign w:val="center"/>
          </w:tcPr>
          <w:p w:rsidRPr="00466D0F" w:rsidR="00EF623E" w:rsidP="00F010DE" w:rsidRDefault="0079468B" w14:paraId="353240F9" w14:textId="7BB19353">
            <w:pPr>
              <w:rPr>
                <w:rFonts w:cs="Calibri"/>
                <w:lang w:val="en-GB" w:eastAsia="en-GB"/>
              </w:rPr>
            </w:pPr>
            <w:r w:rsidRPr="00466D0F">
              <w:rPr>
                <w:rFonts w:cs="Calibri"/>
                <w:lang w:val="en-GB" w:eastAsia="en-GB"/>
              </w:rPr>
              <w:t>2482</w:t>
            </w:r>
          </w:p>
        </w:tc>
        <w:tc>
          <w:tcPr>
            <w:tcW w:w="1984" w:type="dxa"/>
            <w:tcBorders>
              <w:top w:val="nil"/>
              <w:left w:val="nil"/>
              <w:bottom w:val="single" w:color="FFFFFF" w:themeColor="background1" w:sz="4" w:space="0"/>
              <w:right w:val="single" w:color="FFFFFF" w:themeColor="background1" w:sz="4" w:space="0"/>
            </w:tcBorders>
            <w:shd w:val="clear" w:color="auto" w:fill="C1E4F5" w:themeFill="accent1" w:themeFillTint="33"/>
            <w:noWrap/>
            <w:vAlign w:val="center"/>
          </w:tcPr>
          <w:p w:rsidRPr="00466D0F" w:rsidR="00EF623E" w:rsidP="00F010DE" w:rsidRDefault="00B53C6A" w14:paraId="63F3559D" w14:textId="10154044">
            <w:pPr>
              <w:rPr>
                <w:rFonts w:cs="Calibri"/>
                <w:lang w:val="en-GB" w:eastAsia="en-GB"/>
              </w:rPr>
            </w:pPr>
            <w:r w:rsidRPr="00466D0F">
              <w:rPr>
                <w:rFonts w:cs="Calibri"/>
                <w:lang w:val="en-GB" w:eastAsia="en-GB"/>
              </w:rPr>
              <w:t>2398</w:t>
            </w:r>
          </w:p>
        </w:tc>
        <w:tc>
          <w:tcPr>
            <w:tcW w:w="2279" w:type="dxa"/>
            <w:tcBorders>
              <w:top w:val="nil"/>
              <w:left w:val="nil"/>
              <w:bottom w:val="single" w:color="FFFFFF" w:themeColor="background1" w:sz="4" w:space="0"/>
              <w:right w:val="single" w:color="FFFFFF" w:themeColor="background1" w:sz="4" w:space="0"/>
            </w:tcBorders>
            <w:shd w:val="clear" w:color="auto" w:fill="C1E4F5" w:themeFill="accent1" w:themeFillTint="33"/>
            <w:noWrap/>
            <w:vAlign w:val="center"/>
            <w:hideMark/>
          </w:tcPr>
          <w:p w:rsidRPr="00466D0F" w:rsidR="00EF623E" w:rsidP="00F010DE" w:rsidRDefault="00313592" w14:paraId="09285AFB" w14:textId="109AE750">
            <w:pPr>
              <w:rPr>
                <w:rFonts w:cs="Calibri"/>
                <w:lang w:val="en-GB" w:eastAsia="en-GB"/>
              </w:rPr>
            </w:pPr>
            <w:r w:rsidRPr="00466D0F">
              <w:rPr>
                <w:rFonts w:cs="Calibri"/>
                <w:lang w:val="en-GB" w:eastAsia="en-GB"/>
              </w:rPr>
              <w:t>-3%</w:t>
            </w:r>
          </w:p>
        </w:tc>
      </w:tr>
      <w:tr w:rsidRPr="00466D0F" w:rsidR="009552CB" w:rsidTr="1EFEB1A2" w14:paraId="0FCEEADE" w14:textId="77777777">
        <w:trPr>
          <w:trHeight w:val="300"/>
        </w:trPr>
        <w:tc>
          <w:tcPr>
            <w:tcW w:w="3261" w:type="dxa"/>
            <w:tcBorders>
              <w:top w:val="nil"/>
              <w:left w:val="single" w:color="FFFFFF" w:themeColor="background1" w:sz="4" w:space="0"/>
              <w:bottom w:val="single" w:color="FFFFFF" w:themeColor="background1" w:sz="4" w:space="0"/>
              <w:right w:val="single" w:color="FFFFFF" w:themeColor="background1" w:sz="4" w:space="0"/>
            </w:tcBorders>
            <w:shd w:val="clear" w:color="auto" w:fill="A6C9EC"/>
            <w:noWrap/>
            <w:vAlign w:val="center"/>
            <w:hideMark/>
          </w:tcPr>
          <w:p w:rsidRPr="00466D0F" w:rsidR="009552CB" w:rsidP="00F010DE" w:rsidRDefault="009552CB" w14:paraId="13573720" w14:textId="108EF714">
            <w:pPr>
              <w:rPr>
                <w:rFonts w:cs="Calibri"/>
                <w:lang w:val="en-GB" w:eastAsia="en-GB"/>
              </w:rPr>
            </w:pPr>
            <w:r w:rsidRPr="00466D0F">
              <w:rPr>
                <w:rFonts w:cs="Calibri"/>
                <w:lang w:val="en-GB" w:eastAsia="en-GB"/>
              </w:rPr>
              <w:t>Domiciliary Care</w:t>
            </w:r>
          </w:p>
        </w:tc>
        <w:tc>
          <w:tcPr>
            <w:tcW w:w="1554" w:type="dxa"/>
            <w:tcBorders>
              <w:top w:val="nil"/>
              <w:left w:val="nil"/>
              <w:bottom w:val="single" w:color="FFFFFF" w:themeColor="background1" w:sz="4" w:space="0"/>
              <w:right w:val="single" w:color="FFFFFF" w:themeColor="background1" w:sz="4" w:space="0"/>
            </w:tcBorders>
            <w:shd w:val="clear" w:color="auto" w:fill="A6C9EC"/>
            <w:noWrap/>
            <w:vAlign w:val="center"/>
          </w:tcPr>
          <w:p w:rsidRPr="00466D0F" w:rsidR="009552CB" w:rsidP="00F010DE" w:rsidRDefault="001F4118" w14:paraId="13EA78E8" w14:textId="258A300D">
            <w:pPr>
              <w:rPr>
                <w:rFonts w:cs="Calibri"/>
                <w:lang w:val="en-GB" w:eastAsia="en-GB"/>
              </w:rPr>
            </w:pPr>
            <w:r w:rsidRPr="00466D0F">
              <w:rPr>
                <w:rFonts w:cs="Calibri"/>
                <w:lang w:val="en-GB" w:eastAsia="en-GB"/>
              </w:rPr>
              <w:t>1992</w:t>
            </w:r>
          </w:p>
        </w:tc>
        <w:tc>
          <w:tcPr>
            <w:tcW w:w="1984" w:type="dxa"/>
            <w:tcBorders>
              <w:top w:val="nil"/>
              <w:left w:val="nil"/>
              <w:bottom w:val="single" w:color="FFFFFF" w:themeColor="background1" w:sz="4" w:space="0"/>
              <w:right w:val="single" w:color="FFFFFF" w:themeColor="background1" w:sz="4" w:space="0"/>
            </w:tcBorders>
            <w:shd w:val="clear" w:color="auto" w:fill="A6C9EC"/>
            <w:noWrap/>
            <w:vAlign w:val="center"/>
          </w:tcPr>
          <w:p w:rsidRPr="00466D0F" w:rsidR="009552CB" w:rsidP="00F010DE" w:rsidRDefault="006277E7" w14:paraId="252D0B30" w14:textId="0BA043B0">
            <w:pPr>
              <w:rPr>
                <w:rFonts w:cs="Calibri"/>
                <w:lang w:val="en-GB" w:eastAsia="en-GB"/>
              </w:rPr>
            </w:pPr>
            <w:r w:rsidRPr="00466D0F">
              <w:rPr>
                <w:rFonts w:cs="Calibri"/>
                <w:lang w:val="en-GB" w:eastAsia="en-GB"/>
              </w:rPr>
              <w:t>217</w:t>
            </w:r>
            <w:r w:rsidRPr="00466D0F" w:rsidR="00C6669B">
              <w:rPr>
                <w:rFonts w:cs="Calibri"/>
                <w:lang w:val="en-GB" w:eastAsia="en-GB"/>
              </w:rPr>
              <w:t>2</w:t>
            </w:r>
          </w:p>
        </w:tc>
        <w:tc>
          <w:tcPr>
            <w:tcW w:w="2279" w:type="dxa"/>
            <w:tcBorders>
              <w:top w:val="nil"/>
              <w:left w:val="nil"/>
              <w:bottom w:val="single" w:color="FFFFFF" w:themeColor="background1" w:sz="4" w:space="0"/>
              <w:right w:val="single" w:color="FFFFFF" w:themeColor="background1" w:sz="4" w:space="0"/>
            </w:tcBorders>
            <w:shd w:val="clear" w:color="auto" w:fill="A6C9EC"/>
            <w:noWrap/>
            <w:vAlign w:val="center"/>
            <w:hideMark/>
          </w:tcPr>
          <w:p w:rsidRPr="00466D0F" w:rsidR="009552CB" w:rsidP="00F010DE" w:rsidRDefault="00765F44" w14:paraId="4C12FF09" w14:textId="55625724">
            <w:pPr>
              <w:rPr>
                <w:rFonts w:cs="Calibri"/>
                <w:lang w:val="en-GB" w:eastAsia="en-GB"/>
              </w:rPr>
            </w:pPr>
            <w:r w:rsidRPr="00466D0F">
              <w:rPr>
                <w:rFonts w:cs="Calibri"/>
                <w:lang w:val="en-GB" w:eastAsia="en-GB"/>
              </w:rPr>
              <w:t>9%</w:t>
            </w:r>
          </w:p>
        </w:tc>
      </w:tr>
      <w:tr w:rsidRPr="00466D0F" w:rsidR="009552CB" w:rsidTr="1EFEB1A2" w14:paraId="5EC32202" w14:textId="77777777">
        <w:trPr>
          <w:trHeight w:val="300"/>
        </w:trPr>
        <w:tc>
          <w:tcPr>
            <w:tcW w:w="3261" w:type="dxa"/>
            <w:tcBorders>
              <w:top w:val="nil"/>
              <w:left w:val="single" w:color="FFFFFF" w:themeColor="background1" w:sz="4" w:space="0"/>
              <w:bottom w:val="single" w:color="FFFFFF" w:themeColor="background1" w:sz="4" w:space="0"/>
              <w:right w:val="single" w:color="FFFFFF" w:themeColor="background1" w:sz="4" w:space="0"/>
            </w:tcBorders>
            <w:shd w:val="clear" w:color="auto" w:fill="CAEDFB" w:themeFill="accent4" w:themeFillTint="33"/>
            <w:noWrap/>
            <w:vAlign w:val="center"/>
            <w:hideMark/>
          </w:tcPr>
          <w:p w:rsidRPr="00466D0F" w:rsidR="009552CB" w:rsidP="00F010DE" w:rsidRDefault="009552CB" w14:paraId="1014FE06" w14:textId="1C53A7A2">
            <w:pPr>
              <w:rPr>
                <w:rFonts w:cs="Calibri"/>
                <w:lang w:val="en-GB" w:eastAsia="en-GB"/>
              </w:rPr>
            </w:pPr>
            <w:r w:rsidRPr="00466D0F">
              <w:rPr>
                <w:rFonts w:cs="Calibri"/>
                <w:lang w:val="en-GB" w:eastAsia="en-GB"/>
              </w:rPr>
              <w:t>Support Services</w:t>
            </w:r>
          </w:p>
        </w:tc>
        <w:tc>
          <w:tcPr>
            <w:tcW w:w="1554" w:type="dxa"/>
            <w:tcBorders>
              <w:top w:val="nil"/>
              <w:left w:val="nil"/>
              <w:bottom w:val="single" w:color="FFFFFF" w:themeColor="background1" w:sz="4" w:space="0"/>
              <w:right w:val="single" w:color="FFFFFF" w:themeColor="background1" w:sz="4" w:space="0"/>
            </w:tcBorders>
            <w:shd w:val="clear" w:color="auto" w:fill="CAEDFB" w:themeFill="accent4" w:themeFillTint="33"/>
            <w:noWrap/>
            <w:vAlign w:val="center"/>
          </w:tcPr>
          <w:p w:rsidRPr="00466D0F" w:rsidR="009552CB" w:rsidP="00F010DE" w:rsidRDefault="005908E9" w14:paraId="1061E893" w14:textId="281AD2EF">
            <w:pPr>
              <w:rPr>
                <w:rFonts w:cs="Calibri"/>
                <w:lang w:val="en-GB" w:eastAsia="en-GB"/>
              </w:rPr>
            </w:pPr>
            <w:r w:rsidRPr="00466D0F">
              <w:rPr>
                <w:rFonts w:cs="Calibri"/>
                <w:lang w:val="en-GB" w:eastAsia="en-GB"/>
              </w:rPr>
              <w:t>1630</w:t>
            </w:r>
          </w:p>
        </w:tc>
        <w:tc>
          <w:tcPr>
            <w:tcW w:w="1984" w:type="dxa"/>
            <w:tcBorders>
              <w:top w:val="nil"/>
              <w:left w:val="nil"/>
              <w:bottom w:val="single" w:color="FFFFFF" w:themeColor="background1" w:sz="4" w:space="0"/>
              <w:right w:val="single" w:color="FFFFFF" w:themeColor="background1" w:sz="4" w:space="0"/>
            </w:tcBorders>
            <w:shd w:val="clear" w:color="auto" w:fill="CAEDFB" w:themeFill="accent4" w:themeFillTint="33"/>
            <w:noWrap/>
            <w:vAlign w:val="center"/>
          </w:tcPr>
          <w:p w:rsidRPr="00466D0F" w:rsidR="009552CB" w:rsidP="00F010DE" w:rsidRDefault="005908E9" w14:paraId="17241251" w14:textId="1570803B">
            <w:pPr>
              <w:rPr>
                <w:rFonts w:cs="Calibri"/>
                <w:lang w:val="en-GB" w:eastAsia="en-GB"/>
              </w:rPr>
            </w:pPr>
            <w:r w:rsidRPr="00466D0F">
              <w:rPr>
                <w:rFonts w:cs="Calibri"/>
                <w:lang w:val="en-GB" w:eastAsia="en-GB"/>
              </w:rPr>
              <w:t>1722</w:t>
            </w:r>
          </w:p>
        </w:tc>
        <w:tc>
          <w:tcPr>
            <w:tcW w:w="2279" w:type="dxa"/>
            <w:tcBorders>
              <w:top w:val="nil"/>
              <w:left w:val="nil"/>
              <w:bottom w:val="single" w:color="FFFFFF" w:themeColor="background1" w:sz="4" w:space="0"/>
              <w:right w:val="single" w:color="FFFFFF" w:themeColor="background1" w:sz="4" w:space="0"/>
            </w:tcBorders>
            <w:shd w:val="clear" w:color="auto" w:fill="CAEDFB" w:themeFill="accent4" w:themeFillTint="33"/>
            <w:noWrap/>
            <w:vAlign w:val="center"/>
            <w:hideMark/>
          </w:tcPr>
          <w:p w:rsidRPr="00466D0F" w:rsidR="009552CB" w:rsidP="00F010DE" w:rsidRDefault="00283D9B" w14:paraId="5DDF68C4" w14:textId="41CB4A06">
            <w:pPr>
              <w:rPr>
                <w:rFonts w:cs="Calibri"/>
                <w:lang w:val="en-GB" w:eastAsia="en-GB"/>
              </w:rPr>
            </w:pPr>
            <w:r w:rsidRPr="00466D0F">
              <w:rPr>
                <w:rFonts w:cs="Calibri"/>
                <w:lang w:val="en-GB" w:eastAsia="en-GB"/>
              </w:rPr>
              <w:t>6%</w:t>
            </w:r>
          </w:p>
        </w:tc>
      </w:tr>
      <w:tr w:rsidRPr="00466D0F" w:rsidR="009552CB" w:rsidTr="1EFEB1A2" w14:paraId="2B2B68EA" w14:textId="77777777">
        <w:trPr>
          <w:trHeight w:val="300"/>
        </w:trPr>
        <w:tc>
          <w:tcPr>
            <w:tcW w:w="3261" w:type="dxa"/>
            <w:tcBorders>
              <w:top w:val="nil"/>
              <w:left w:val="single" w:color="FFFFFF" w:themeColor="background1" w:sz="4" w:space="0"/>
              <w:bottom w:val="single" w:color="FFFFFF" w:themeColor="background1" w:sz="4" w:space="0"/>
              <w:right w:val="single" w:color="FFFFFF" w:themeColor="background1" w:sz="4" w:space="0"/>
            </w:tcBorders>
            <w:shd w:val="clear" w:color="auto" w:fill="A6C9EC"/>
            <w:noWrap/>
            <w:vAlign w:val="center"/>
            <w:hideMark/>
          </w:tcPr>
          <w:p w:rsidRPr="00466D0F" w:rsidR="009552CB" w:rsidP="00F010DE" w:rsidRDefault="009552CB" w14:paraId="7EFC9BC3" w14:textId="1182CC51">
            <w:pPr>
              <w:rPr>
                <w:rFonts w:cs="Calibri"/>
                <w:lang w:val="en-GB" w:eastAsia="en-GB"/>
              </w:rPr>
            </w:pPr>
            <w:r w:rsidRPr="00466D0F">
              <w:rPr>
                <w:rFonts w:cs="Calibri"/>
                <w:lang w:val="en-GB" w:eastAsia="en-GB"/>
              </w:rPr>
              <w:t>Extra Sheltered Housing</w:t>
            </w:r>
          </w:p>
        </w:tc>
        <w:tc>
          <w:tcPr>
            <w:tcW w:w="1554" w:type="dxa"/>
            <w:tcBorders>
              <w:top w:val="nil"/>
              <w:left w:val="nil"/>
              <w:bottom w:val="single" w:color="FFFFFF" w:themeColor="background1" w:sz="4" w:space="0"/>
              <w:right w:val="single" w:color="FFFFFF" w:themeColor="background1" w:sz="4" w:space="0"/>
            </w:tcBorders>
            <w:shd w:val="clear" w:color="auto" w:fill="A6C9EC"/>
            <w:noWrap/>
            <w:vAlign w:val="center"/>
          </w:tcPr>
          <w:p w:rsidRPr="00466D0F" w:rsidR="009552CB" w:rsidP="00F010DE" w:rsidRDefault="00483AB4" w14:paraId="3BF07D67" w14:textId="0891F7D2">
            <w:pPr>
              <w:rPr>
                <w:rFonts w:cs="Calibri"/>
                <w:lang w:val="en-GB" w:eastAsia="en-GB"/>
              </w:rPr>
            </w:pPr>
            <w:r w:rsidRPr="00466D0F">
              <w:rPr>
                <w:rFonts w:cs="Calibri"/>
                <w:lang w:val="en-GB" w:eastAsia="en-GB"/>
              </w:rPr>
              <w:t>117</w:t>
            </w:r>
          </w:p>
        </w:tc>
        <w:tc>
          <w:tcPr>
            <w:tcW w:w="1984" w:type="dxa"/>
            <w:tcBorders>
              <w:top w:val="nil"/>
              <w:left w:val="nil"/>
              <w:bottom w:val="single" w:color="FFFFFF" w:themeColor="background1" w:sz="4" w:space="0"/>
              <w:right w:val="single" w:color="FFFFFF" w:themeColor="background1" w:sz="4" w:space="0"/>
            </w:tcBorders>
            <w:shd w:val="clear" w:color="auto" w:fill="A6C9EC"/>
            <w:noWrap/>
            <w:vAlign w:val="center"/>
          </w:tcPr>
          <w:p w:rsidRPr="00466D0F" w:rsidR="009552CB" w:rsidP="00F010DE" w:rsidRDefault="00483AB4" w14:paraId="1407B21C" w14:textId="46C1DF49">
            <w:pPr>
              <w:rPr>
                <w:rFonts w:cs="Calibri"/>
                <w:lang w:val="en-GB" w:eastAsia="en-GB"/>
              </w:rPr>
            </w:pPr>
            <w:r w:rsidRPr="00466D0F">
              <w:rPr>
                <w:rFonts w:cs="Calibri"/>
                <w:lang w:val="en-GB" w:eastAsia="en-GB"/>
              </w:rPr>
              <w:t>127</w:t>
            </w:r>
          </w:p>
        </w:tc>
        <w:tc>
          <w:tcPr>
            <w:tcW w:w="2279" w:type="dxa"/>
            <w:tcBorders>
              <w:top w:val="nil"/>
              <w:left w:val="nil"/>
              <w:bottom w:val="single" w:color="FFFFFF" w:themeColor="background1" w:sz="4" w:space="0"/>
              <w:right w:val="single" w:color="FFFFFF" w:themeColor="background1" w:sz="4" w:space="0"/>
            </w:tcBorders>
            <w:shd w:val="clear" w:color="auto" w:fill="A6C9EC"/>
            <w:noWrap/>
            <w:vAlign w:val="center"/>
            <w:hideMark/>
          </w:tcPr>
          <w:p w:rsidRPr="00466D0F" w:rsidR="009552CB" w:rsidP="00F010DE" w:rsidRDefault="00283D9B" w14:paraId="06489FE9" w14:textId="6D97ADD0">
            <w:pPr>
              <w:rPr>
                <w:rFonts w:cs="Calibri"/>
                <w:lang w:val="en-GB" w:eastAsia="en-GB"/>
              </w:rPr>
            </w:pPr>
            <w:r w:rsidRPr="00466D0F">
              <w:rPr>
                <w:rFonts w:cs="Calibri"/>
                <w:lang w:val="en-GB" w:eastAsia="en-GB"/>
              </w:rPr>
              <w:t>9%</w:t>
            </w:r>
          </w:p>
        </w:tc>
      </w:tr>
      <w:tr w:rsidRPr="00466D0F" w:rsidR="009552CB" w:rsidTr="1EFEB1A2" w14:paraId="7B74D0F8" w14:textId="77777777">
        <w:trPr>
          <w:trHeight w:val="300"/>
        </w:trPr>
        <w:tc>
          <w:tcPr>
            <w:tcW w:w="3261" w:type="dxa"/>
            <w:tcBorders>
              <w:top w:val="nil"/>
              <w:left w:val="single" w:color="FFFFFF" w:themeColor="background1" w:sz="4" w:space="0"/>
              <w:bottom w:val="single" w:color="FFFFFF" w:themeColor="background1" w:sz="4" w:space="0"/>
              <w:right w:val="single" w:color="FFFFFF" w:themeColor="background1" w:sz="4" w:space="0"/>
            </w:tcBorders>
            <w:shd w:val="clear" w:color="auto" w:fill="CAEDFB" w:themeFill="accent4" w:themeFillTint="33"/>
            <w:noWrap/>
            <w:vAlign w:val="center"/>
            <w:hideMark/>
          </w:tcPr>
          <w:p w:rsidRPr="00466D0F" w:rsidR="009552CB" w:rsidP="00F010DE" w:rsidRDefault="009552CB" w14:paraId="3B64A67C" w14:textId="25A0CC9A">
            <w:pPr>
              <w:rPr>
                <w:rFonts w:cs="Calibri"/>
                <w:lang w:val="en-GB" w:eastAsia="en-GB"/>
              </w:rPr>
            </w:pPr>
            <w:r w:rsidRPr="00466D0F">
              <w:rPr>
                <w:rFonts w:cs="Calibri"/>
                <w:lang w:val="en-GB" w:eastAsia="en-GB"/>
              </w:rPr>
              <w:t>Day Services (External)</w:t>
            </w:r>
          </w:p>
        </w:tc>
        <w:tc>
          <w:tcPr>
            <w:tcW w:w="1554" w:type="dxa"/>
            <w:tcBorders>
              <w:top w:val="nil"/>
              <w:left w:val="nil"/>
              <w:bottom w:val="single" w:color="FFFFFF" w:themeColor="background1" w:sz="4" w:space="0"/>
              <w:right w:val="single" w:color="FFFFFF" w:themeColor="background1" w:sz="4" w:space="0"/>
            </w:tcBorders>
            <w:shd w:val="clear" w:color="auto" w:fill="CAEDFB" w:themeFill="accent4" w:themeFillTint="33"/>
            <w:noWrap/>
            <w:vAlign w:val="center"/>
          </w:tcPr>
          <w:p w:rsidRPr="00466D0F" w:rsidR="009552CB" w:rsidP="00F010DE" w:rsidRDefault="001A5AD2" w14:paraId="1F53B5D8" w14:textId="33B000A5">
            <w:pPr>
              <w:rPr>
                <w:rFonts w:cs="Calibri"/>
                <w:lang w:val="en-GB" w:eastAsia="en-GB"/>
              </w:rPr>
            </w:pPr>
            <w:r w:rsidRPr="00466D0F">
              <w:rPr>
                <w:rFonts w:cs="Calibri"/>
                <w:lang w:val="en-GB" w:eastAsia="en-GB"/>
              </w:rPr>
              <w:t>324</w:t>
            </w:r>
          </w:p>
        </w:tc>
        <w:tc>
          <w:tcPr>
            <w:tcW w:w="1984" w:type="dxa"/>
            <w:tcBorders>
              <w:top w:val="nil"/>
              <w:left w:val="nil"/>
              <w:bottom w:val="single" w:color="FFFFFF" w:themeColor="background1" w:sz="4" w:space="0"/>
              <w:right w:val="single" w:color="FFFFFF" w:themeColor="background1" w:sz="4" w:space="0"/>
            </w:tcBorders>
            <w:shd w:val="clear" w:color="auto" w:fill="CAEDFB" w:themeFill="accent4" w:themeFillTint="33"/>
            <w:noWrap/>
            <w:vAlign w:val="center"/>
          </w:tcPr>
          <w:p w:rsidRPr="00466D0F" w:rsidR="009552CB" w:rsidP="00F010DE" w:rsidRDefault="001A5AD2" w14:paraId="6973EE4B" w14:textId="4869A031">
            <w:pPr>
              <w:rPr>
                <w:rFonts w:cs="Calibri"/>
                <w:lang w:val="en-GB" w:eastAsia="en-GB"/>
              </w:rPr>
            </w:pPr>
            <w:r w:rsidRPr="00466D0F">
              <w:rPr>
                <w:rFonts w:cs="Calibri"/>
                <w:lang w:val="en-GB" w:eastAsia="en-GB"/>
              </w:rPr>
              <w:t>404</w:t>
            </w:r>
          </w:p>
        </w:tc>
        <w:tc>
          <w:tcPr>
            <w:tcW w:w="2279" w:type="dxa"/>
            <w:tcBorders>
              <w:top w:val="nil"/>
              <w:left w:val="nil"/>
              <w:bottom w:val="single" w:color="FFFFFF" w:themeColor="background1" w:sz="4" w:space="0"/>
              <w:right w:val="single" w:color="FFFFFF" w:themeColor="background1" w:sz="4" w:space="0"/>
            </w:tcBorders>
            <w:shd w:val="clear" w:color="auto" w:fill="CAEDFB" w:themeFill="accent4" w:themeFillTint="33"/>
            <w:noWrap/>
            <w:vAlign w:val="center"/>
            <w:hideMark/>
          </w:tcPr>
          <w:p w:rsidRPr="00466D0F" w:rsidR="009552CB" w:rsidP="00F010DE" w:rsidRDefault="00283D9B" w14:paraId="1F899062" w14:textId="5D9A7A1B">
            <w:pPr>
              <w:rPr>
                <w:rFonts w:cs="Calibri"/>
                <w:lang w:val="en-GB" w:eastAsia="en-GB"/>
              </w:rPr>
            </w:pPr>
            <w:r w:rsidRPr="00466D0F">
              <w:rPr>
                <w:rFonts w:cs="Calibri"/>
                <w:lang w:val="en-GB" w:eastAsia="en-GB"/>
              </w:rPr>
              <w:t>25</w:t>
            </w:r>
            <w:r w:rsidRPr="00466D0F" w:rsidR="00B50B75">
              <w:rPr>
                <w:rFonts w:cs="Calibri"/>
                <w:lang w:val="en-GB" w:eastAsia="en-GB"/>
              </w:rPr>
              <w:t>%</w:t>
            </w:r>
          </w:p>
        </w:tc>
      </w:tr>
      <w:tr w:rsidRPr="00466D0F" w:rsidR="009552CB" w:rsidTr="1EFEB1A2" w14:paraId="022F0666" w14:textId="77777777">
        <w:trPr>
          <w:trHeight w:val="300"/>
        </w:trPr>
        <w:tc>
          <w:tcPr>
            <w:tcW w:w="3261" w:type="dxa"/>
            <w:tcBorders>
              <w:top w:val="nil"/>
              <w:left w:val="single" w:color="FFFFFF" w:themeColor="background1" w:sz="4" w:space="0"/>
              <w:bottom w:val="nil"/>
              <w:right w:val="single" w:color="FFFFFF" w:themeColor="background1" w:sz="4" w:space="0"/>
            </w:tcBorders>
            <w:shd w:val="clear" w:color="auto" w:fill="A6C9EC"/>
            <w:noWrap/>
            <w:vAlign w:val="center"/>
            <w:hideMark/>
          </w:tcPr>
          <w:p w:rsidRPr="00466D0F" w:rsidR="009552CB" w:rsidP="00F010DE" w:rsidRDefault="009552CB" w14:paraId="4B81C456" w14:textId="40FD644E">
            <w:pPr>
              <w:rPr>
                <w:rFonts w:cs="Calibri"/>
                <w:lang w:val="en-GB" w:eastAsia="en-GB"/>
              </w:rPr>
            </w:pPr>
            <w:r w:rsidRPr="00466D0F">
              <w:rPr>
                <w:rFonts w:cs="Calibri"/>
                <w:lang w:val="en-GB" w:eastAsia="en-GB"/>
              </w:rPr>
              <w:t>Day Services (Internal)</w:t>
            </w:r>
          </w:p>
        </w:tc>
        <w:tc>
          <w:tcPr>
            <w:tcW w:w="1554" w:type="dxa"/>
            <w:tcBorders>
              <w:top w:val="nil"/>
              <w:left w:val="nil"/>
              <w:bottom w:val="nil"/>
              <w:right w:val="single" w:color="FFFFFF" w:themeColor="background1" w:sz="4" w:space="0"/>
            </w:tcBorders>
            <w:shd w:val="clear" w:color="auto" w:fill="A6C9EC"/>
            <w:noWrap/>
            <w:vAlign w:val="center"/>
          </w:tcPr>
          <w:p w:rsidRPr="00466D0F" w:rsidR="009552CB" w:rsidP="00F010DE" w:rsidRDefault="001A5AD2" w14:paraId="4C55F607" w14:textId="66428C14">
            <w:pPr>
              <w:rPr>
                <w:rFonts w:cs="Calibri"/>
                <w:lang w:val="en-GB" w:eastAsia="en-GB"/>
              </w:rPr>
            </w:pPr>
            <w:r w:rsidRPr="00466D0F">
              <w:rPr>
                <w:rFonts w:cs="Calibri"/>
                <w:lang w:val="en-GB" w:eastAsia="en-GB"/>
              </w:rPr>
              <w:t>120</w:t>
            </w:r>
          </w:p>
        </w:tc>
        <w:tc>
          <w:tcPr>
            <w:tcW w:w="1984" w:type="dxa"/>
            <w:tcBorders>
              <w:top w:val="nil"/>
              <w:left w:val="nil"/>
              <w:bottom w:val="nil"/>
              <w:right w:val="single" w:color="FFFFFF" w:themeColor="background1" w:sz="4" w:space="0"/>
            </w:tcBorders>
            <w:shd w:val="clear" w:color="auto" w:fill="A6C9EC"/>
            <w:noWrap/>
            <w:vAlign w:val="center"/>
          </w:tcPr>
          <w:p w:rsidRPr="00466D0F" w:rsidR="009552CB" w:rsidP="00F010DE" w:rsidRDefault="001A5AD2" w14:paraId="18CC3BC5" w14:textId="2142A839">
            <w:pPr>
              <w:rPr>
                <w:rFonts w:cs="Calibri"/>
                <w:lang w:val="en-GB" w:eastAsia="en-GB"/>
              </w:rPr>
            </w:pPr>
            <w:r w:rsidRPr="00466D0F">
              <w:rPr>
                <w:rFonts w:cs="Calibri"/>
                <w:lang w:val="en-GB" w:eastAsia="en-GB"/>
              </w:rPr>
              <w:t>114</w:t>
            </w:r>
          </w:p>
        </w:tc>
        <w:tc>
          <w:tcPr>
            <w:tcW w:w="2279" w:type="dxa"/>
            <w:tcBorders>
              <w:top w:val="nil"/>
              <w:left w:val="nil"/>
              <w:bottom w:val="nil"/>
              <w:right w:val="single" w:color="FFFFFF" w:themeColor="background1" w:sz="4" w:space="0"/>
            </w:tcBorders>
            <w:shd w:val="clear" w:color="auto" w:fill="A6C9EC"/>
            <w:noWrap/>
            <w:vAlign w:val="center"/>
            <w:hideMark/>
          </w:tcPr>
          <w:p w:rsidRPr="00466D0F" w:rsidR="009552CB" w:rsidP="00F010DE" w:rsidRDefault="00B50B75" w14:paraId="6E1DA425" w14:textId="58E8A11B">
            <w:pPr>
              <w:rPr>
                <w:rFonts w:cs="Calibri"/>
                <w:lang w:val="en-GB" w:eastAsia="en-GB"/>
              </w:rPr>
            </w:pPr>
            <w:r w:rsidRPr="00466D0F">
              <w:rPr>
                <w:rFonts w:cs="Calibri"/>
                <w:lang w:val="en-GB" w:eastAsia="en-GB"/>
              </w:rPr>
              <w:t>-5%</w:t>
            </w:r>
          </w:p>
        </w:tc>
      </w:tr>
      <w:tr w:rsidRPr="00466D0F" w:rsidR="00435FE7" w:rsidTr="1EFEB1A2" w14:paraId="20911C2D" w14:textId="77777777">
        <w:trPr>
          <w:trHeight w:val="300"/>
        </w:trPr>
        <w:tc>
          <w:tcPr>
            <w:tcW w:w="3261" w:type="dxa"/>
            <w:tcBorders>
              <w:top w:val="nil"/>
              <w:left w:val="single" w:color="FFFFFF" w:themeColor="background1" w:sz="4" w:space="0"/>
              <w:bottom w:val="single" w:color="FFFFFF" w:themeColor="background1" w:sz="4" w:space="0"/>
              <w:right w:val="single" w:color="FFFFFF" w:themeColor="background1" w:sz="4" w:space="0"/>
            </w:tcBorders>
            <w:shd w:val="clear" w:color="auto" w:fill="C1E4F5" w:themeFill="accent1" w:themeFillTint="33"/>
            <w:noWrap/>
            <w:vAlign w:val="center"/>
          </w:tcPr>
          <w:p w:rsidRPr="00466D0F" w:rsidR="00435FE7" w:rsidP="00F010DE" w:rsidRDefault="00435FE7" w14:paraId="17C8F591" w14:textId="1827762C">
            <w:pPr>
              <w:rPr>
                <w:rFonts w:cs="Calibri"/>
                <w:lang w:val="en-GB" w:eastAsia="en-GB"/>
              </w:rPr>
            </w:pPr>
            <w:r w:rsidRPr="00466D0F">
              <w:rPr>
                <w:rFonts w:cs="Calibri"/>
                <w:lang w:val="en-GB" w:eastAsia="en-GB"/>
              </w:rPr>
              <w:t>Other Community Services</w:t>
            </w:r>
          </w:p>
        </w:tc>
        <w:tc>
          <w:tcPr>
            <w:tcW w:w="1554" w:type="dxa"/>
            <w:tcBorders>
              <w:top w:val="nil"/>
              <w:left w:val="nil"/>
              <w:bottom w:val="single" w:color="FFFFFF" w:themeColor="background1" w:sz="4" w:space="0"/>
              <w:right w:val="single" w:color="FFFFFF" w:themeColor="background1" w:sz="4" w:space="0"/>
            </w:tcBorders>
            <w:shd w:val="clear" w:color="auto" w:fill="C1E4F5" w:themeFill="accent1" w:themeFillTint="33"/>
            <w:noWrap/>
            <w:vAlign w:val="center"/>
          </w:tcPr>
          <w:p w:rsidRPr="00466D0F" w:rsidR="00435FE7" w:rsidP="00F010DE" w:rsidRDefault="00963ED7" w14:paraId="13817FB7" w14:textId="73F76EAE">
            <w:pPr>
              <w:rPr>
                <w:rFonts w:cs="Calibri"/>
                <w:lang w:val="en-GB" w:eastAsia="en-GB"/>
              </w:rPr>
            </w:pPr>
            <w:r w:rsidRPr="00466D0F">
              <w:rPr>
                <w:rFonts w:cs="Calibri"/>
                <w:lang w:val="en-GB" w:eastAsia="en-GB"/>
              </w:rPr>
              <w:t>29</w:t>
            </w:r>
          </w:p>
        </w:tc>
        <w:tc>
          <w:tcPr>
            <w:tcW w:w="1984" w:type="dxa"/>
            <w:tcBorders>
              <w:top w:val="nil"/>
              <w:left w:val="nil"/>
              <w:bottom w:val="single" w:color="FFFFFF" w:themeColor="background1" w:sz="4" w:space="0"/>
              <w:right w:val="single" w:color="FFFFFF" w:themeColor="background1" w:sz="4" w:space="0"/>
            </w:tcBorders>
            <w:shd w:val="clear" w:color="auto" w:fill="C1E4F5" w:themeFill="accent1" w:themeFillTint="33"/>
            <w:noWrap/>
            <w:vAlign w:val="center"/>
          </w:tcPr>
          <w:p w:rsidRPr="00466D0F" w:rsidR="00435FE7" w:rsidP="00F010DE" w:rsidRDefault="00963ED7" w14:paraId="6A0D4042" w14:textId="0F1ACA96">
            <w:pPr>
              <w:rPr>
                <w:rFonts w:cs="Calibri"/>
                <w:lang w:val="en-GB" w:eastAsia="en-GB"/>
              </w:rPr>
            </w:pPr>
            <w:r w:rsidRPr="00466D0F">
              <w:rPr>
                <w:rFonts w:cs="Calibri"/>
                <w:lang w:val="en-GB" w:eastAsia="en-GB"/>
              </w:rPr>
              <w:t>25</w:t>
            </w:r>
          </w:p>
        </w:tc>
        <w:tc>
          <w:tcPr>
            <w:tcW w:w="2279" w:type="dxa"/>
            <w:tcBorders>
              <w:top w:val="nil"/>
              <w:left w:val="nil"/>
              <w:bottom w:val="single" w:color="FFFFFF" w:themeColor="background1" w:sz="4" w:space="0"/>
              <w:right w:val="single" w:color="FFFFFF" w:themeColor="background1" w:sz="4" w:space="0"/>
            </w:tcBorders>
            <w:shd w:val="clear" w:color="auto" w:fill="C1E4F5" w:themeFill="accent1" w:themeFillTint="33"/>
            <w:noWrap/>
            <w:vAlign w:val="center"/>
          </w:tcPr>
          <w:p w:rsidRPr="00466D0F" w:rsidR="00435FE7" w:rsidP="00F010DE" w:rsidRDefault="00A56319" w14:paraId="19670756" w14:textId="20A735EB">
            <w:pPr>
              <w:rPr>
                <w:rFonts w:cs="Calibri"/>
                <w:lang w:val="en-GB" w:eastAsia="en-GB"/>
              </w:rPr>
            </w:pPr>
            <w:r w:rsidRPr="00466D0F">
              <w:rPr>
                <w:rFonts w:cs="Calibri"/>
                <w:lang w:val="en-GB" w:eastAsia="en-GB"/>
              </w:rPr>
              <w:t>-14%</w:t>
            </w:r>
          </w:p>
        </w:tc>
      </w:tr>
    </w:tbl>
    <w:p w:rsidRPr="00466D0F" w:rsidR="000376FA" w:rsidP="00F010DE" w:rsidRDefault="000376FA" w14:paraId="2D7CF713" w14:textId="77777777">
      <w:pPr>
        <w:rPr>
          <w:rFonts w:cs="Calibri"/>
          <w:lang w:val="en-GB"/>
        </w:rPr>
      </w:pPr>
    </w:p>
    <w:p w:rsidRPr="00466D0F" w:rsidR="003A344D" w:rsidP="00F010DE" w:rsidRDefault="003A344D" w14:paraId="1CCCDF73" w14:textId="332F026E">
      <w:pPr>
        <w:rPr>
          <w:rFonts w:cs="Calibri"/>
          <w:lang w:val="en-GB"/>
        </w:rPr>
      </w:pPr>
      <w:r w:rsidRPr="00466D0F">
        <w:rPr>
          <w:rFonts w:cs="Calibri"/>
          <w:lang w:val="en-GB"/>
        </w:rPr>
        <w:t>Commissioned Packages (Out of County)</w:t>
      </w:r>
    </w:p>
    <w:tbl>
      <w:tblPr>
        <w:tblpPr w:leftFromText="180" w:rightFromText="180" w:vertAnchor="text" w:tblpY="1"/>
        <w:tblOverlap w:val="never"/>
        <w:tblW w:w="9078" w:type="dxa"/>
        <w:tblLook w:val="04A0" w:firstRow="1" w:lastRow="0" w:firstColumn="1" w:lastColumn="0" w:noHBand="0" w:noVBand="1"/>
      </w:tblPr>
      <w:tblGrid>
        <w:gridCol w:w="3261"/>
        <w:gridCol w:w="1554"/>
        <w:gridCol w:w="1984"/>
        <w:gridCol w:w="2279"/>
      </w:tblGrid>
      <w:tr w:rsidRPr="00466D0F" w:rsidR="00C71553" w:rsidTr="003265C9" w14:paraId="21E7928C" w14:textId="77777777">
        <w:trPr>
          <w:trHeight w:val="268"/>
        </w:trPr>
        <w:tc>
          <w:tcPr>
            <w:tcW w:w="3261"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215C98"/>
            <w:noWrap/>
            <w:vAlign w:val="center"/>
            <w:hideMark/>
          </w:tcPr>
          <w:p w:rsidRPr="00466D0F" w:rsidR="00C71553" w:rsidP="00F010DE" w:rsidRDefault="00C71553" w14:paraId="4EBDCB78" w14:textId="77777777">
            <w:pPr>
              <w:rPr>
                <w:rFonts w:cs="Calibri"/>
                <w:lang w:val="en-GB" w:eastAsia="en-GB"/>
              </w:rPr>
            </w:pPr>
            <w:r w:rsidRPr="00466D0F">
              <w:rPr>
                <w:rFonts w:cs="Calibri"/>
                <w:lang w:val="en-GB" w:eastAsia="en-GB"/>
              </w:rPr>
              <w:t>Category</w:t>
            </w:r>
          </w:p>
        </w:tc>
        <w:tc>
          <w:tcPr>
            <w:tcW w:w="1554" w:type="dxa"/>
            <w:tcBorders>
              <w:top w:val="single" w:color="FFFFFF" w:themeColor="background1" w:sz="4" w:space="0"/>
              <w:left w:val="nil"/>
              <w:bottom w:val="single" w:color="FFFFFF" w:themeColor="background1" w:sz="4" w:space="0"/>
              <w:right w:val="single" w:color="FFFFFF" w:themeColor="background1" w:sz="4" w:space="0"/>
            </w:tcBorders>
            <w:shd w:val="clear" w:color="auto" w:fill="215C98"/>
            <w:noWrap/>
            <w:vAlign w:val="center"/>
            <w:hideMark/>
          </w:tcPr>
          <w:p w:rsidRPr="00466D0F" w:rsidR="00C71553" w:rsidP="00F010DE" w:rsidRDefault="00C71553" w14:paraId="623391BC" w14:textId="77777777">
            <w:pPr>
              <w:rPr>
                <w:rFonts w:cs="Calibri"/>
                <w:lang w:val="en-GB" w:eastAsia="en-GB"/>
              </w:rPr>
            </w:pPr>
            <w:r w:rsidRPr="00466D0F">
              <w:rPr>
                <w:rFonts w:cs="Calibri"/>
                <w:lang w:val="en-GB" w:eastAsia="en-GB"/>
              </w:rPr>
              <w:t>April 2025</w:t>
            </w:r>
          </w:p>
        </w:tc>
        <w:tc>
          <w:tcPr>
            <w:tcW w:w="1984" w:type="dxa"/>
            <w:tcBorders>
              <w:top w:val="single" w:color="FFFFFF" w:themeColor="background1" w:sz="4" w:space="0"/>
              <w:left w:val="nil"/>
              <w:bottom w:val="single" w:color="FFFFFF" w:themeColor="background1" w:sz="4" w:space="0"/>
              <w:right w:val="single" w:color="FFFFFF" w:themeColor="background1" w:sz="4" w:space="0"/>
            </w:tcBorders>
            <w:shd w:val="clear" w:color="auto" w:fill="215C98"/>
            <w:noWrap/>
            <w:vAlign w:val="center"/>
            <w:hideMark/>
          </w:tcPr>
          <w:p w:rsidRPr="00466D0F" w:rsidR="00C71553" w:rsidP="00F010DE" w:rsidRDefault="00C71553" w14:paraId="6F6ABCA6" w14:textId="77777777">
            <w:pPr>
              <w:rPr>
                <w:rFonts w:cs="Calibri"/>
                <w:lang w:val="en-GB" w:eastAsia="en-GB"/>
              </w:rPr>
            </w:pPr>
            <w:r w:rsidRPr="00466D0F">
              <w:rPr>
                <w:rFonts w:cs="Calibri"/>
                <w:lang w:val="en-GB" w:eastAsia="en-GB"/>
              </w:rPr>
              <w:t>April 2026</w:t>
            </w:r>
          </w:p>
        </w:tc>
        <w:tc>
          <w:tcPr>
            <w:tcW w:w="2279" w:type="dxa"/>
            <w:tcBorders>
              <w:top w:val="single" w:color="FFFFFF" w:themeColor="background1" w:sz="4" w:space="0"/>
              <w:left w:val="nil"/>
              <w:bottom w:val="single" w:color="FFFFFF" w:themeColor="background1" w:sz="4" w:space="0"/>
              <w:right w:val="single" w:color="FFFFFF" w:themeColor="background1" w:sz="4" w:space="0"/>
            </w:tcBorders>
            <w:shd w:val="clear" w:color="auto" w:fill="215C98"/>
            <w:noWrap/>
            <w:vAlign w:val="center"/>
            <w:hideMark/>
          </w:tcPr>
          <w:p w:rsidRPr="00466D0F" w:rsidR="00C71553" w:rsidP="00F010DE" w:rsidRDefault="00C71553" w14:paraId="6CD426F6" w14:textId="77777777">
            <w:pPr>
              <w:rPr>
                <w:rFonts w:cs="Calibri"/>
                <w:lang w:val="en-GB" w:eastAsia="en-GB"/>
              </w:rPr>
            </w:pPr>
            <w:r w:rsidRPr="00466D0F">
              <w:rPr>
                <w:rFonts w:cs="Calibri"/>
                <w:lang w:val="en-GB" w:eastAsia="en-GB"/>
              </w:rPr>
              <w:t>Growth/Reduction %</w:t>
            </w:r>
          </w:p>
        </w:tc>
      </w:tr>
      <w:tr w:rsidRPr="00466D0F" w:rsidR="00C71553" w:rsidTr="003265C9" w14:paraId="23496FA9" w14:textId="77777777">
        <w:trPr>
          <w:trHeight w:val="300"/>
        </w:trPr>
        <w:tc>
          <w:tcPr>
            <w:tcW w:w="3261" w:type="dxa"/>
            <w:tcBorders>
              <w:top w:val="nil"/>
              <w:left w:val="single" w:color="FFFFFF" w:themeColor="background1" w:sz="4" w:space="0"/>
              <w:bottom w:val="single" w:color="FFFFFF" w:themeColor="background1" w:sz="4" w:space="0"/>
              <w:right w:val="single" w:color="FFFFFF" w:themeColor="background1" w:sz="4" w:space="0"/>
            </w:tcBorders>
            <w:shd w:val="clear" w:color="auto" w:fill="C1E4F5" w:themeFill="accent1" w:themeFillTint="33"/>
            <w:noWrap/>
            <w:vAlign w:val="center"/>
            <w:hideMark/>
          </w:tcPr>
          <w:p w:rsidRPr="00466D0F" w:rsidR="00C71553" w:rsidP="00F010DE" w:rsidRDefault="00C71553" w14:paraId="4BEDBCFB" w14:textId="77777777">
            <w:pPr>
              <w:rPr>
                <w:rFonts w:cs="Calibri"/>
                <w:lang w:val="en-GB" w:eastAsia="en-GB"/>
              </w:rPr>
            </w:pPr>
            <w:r w:rsidRPr="00466D0F">
              <w:rPr>
                <w:rFonts w:cs="Calibri"/>
                <w:lang w:val="en-GB" w:eastAsia="en-GB"/>
              </w:rPr>
              <w:t xml:space="preserve">Bed Based </w:t>
            </w:r>
          </w:p>
        </w:tc>
        <w:tc>
          <w:tcPr>
            <w:tcW w:w="1554" w:type="dxa"/>
            <w:tcBorders>
              <w:top w:val="nil"/>
              <w:left w:val="nil"/>
              <w:bottom w:val="single" w:color="FFFFFF" w:themeColor="background1" w:sz="4" w:space="0"/>
              <w:right w:val="single" w:color="FFFFFF" w:themeColor="background1" w:sz="4" w:space="0"/>
            </w:tcBorders>
            <w:shd w:val="clear" w:color="auto" w:fill="C1E4F5" w:themeFill="accent1" w:themeFillTint="33"/>
            <w:noWrap/>
            <w:vAlign w:val="center"/>
          </w:tcPr>
          <w:p w:rsidRPr="00466D0F" w:rsidR="00C71553" w:rsidP="00F010DE" w:rsidRDefault="00C71553" w14:paraId="7A77C4E5" w14:textId="77777777">
            <w:pPr>
              <w:rPr>
                <w:rFonts w:cs="Calibri"/>
                <w:lang w:val="en-GB" w:eastAsia="en-GB"/>
              </w:rPr>
            </w:pPr>
            <w:r w:rsidRPr="00466D0F">
              <w:rPr>
                <w:rFonts w:cs="Calibri"/>
                <w:lang w:val="en-GB" w:eastAsia="en-GB"/>
              </w:rPr>
              <w:t>151</w:t>
            </w:r>
          </w:p>
        </w:tc>
        <w:tc>
          <w:tcPr>
            <w:tcW w:w="1984" w:type="dxa"/>
            <w:tcBorders>
              <w:top w:val="nil"/>
              <w:left w:val="nil"/>
              <w:bottom w:val="single" w:color="FFFFFF" w:themeColor="background1" w:sz="4" w:space="0"/>
              <w:right w:val="single" w:color="FFFFFF" w:themeColor="background1" w:sz="4" w:space="0"/>
            </w:tcBorders>
            <w:shd w:val="clear" w:color="auto" w:fill="C1E4F5" w:themeFill="accent1" w:themeFillTint="33"/>
            <w:noWrap/>
            <w:vAlign w:val="center"/>
          </w:tcPr>
          <w:p w:rsidRPr="00466D0F" w:rsidR="00C71553" w:rsidP="00F010DE" w:rsidRDefault="00C71553" w14:paraId="5FC96B9E" w14:textId="77777777">
            <w:pPr>
              <w:rPr>
                <w:rFonts w:cs="Calibri"/>
                <w:lang w:val="en-GB" w:eastAsia="en-GB"/>
              </w:rPr>
            </w:pPr>
            <w:r w:rsidRPr="00466D0F">
              <w:rPr>
                <w:rFonts w:cs="Calibri"/>
                <w:lang w:val="en-GB" w:eastAsia="en-GB"/>
              </w:rPr>
              <w:t>156</w:t>
            </w:r>
          </w:p>
        </w:tc>
        <w:tc>
          <w:tcPr>
            <w:tcW w:w="2279" w:type="dxa"/>
            <w:tcBorders>
              <w:top w:val="nil"/>
              <w:left w:val="nil"/>
              <w:bottom w:val="single" w:color="FFFFFF" w:themeColor="background1" w:sz="4" w:space="0"/>
              <w:right w:val="single" w:color="FFFFFF" w:themeColor="background1" w:sz="4" w:space="0"/>
            </w:tcBorders>
            <w:shd w:val="clear" w:color="auto" w:fill="C1E4F5" w:themeFill="accent1" w:themeFillTint="33"/>
            <w:noWrap/>
            <w:vAlign w:val="center"/>
            <w:hideMark/>
          </w:tcPr>
          <w:p w:rsidRPr="00466D0F" w:rsidR="00C71553" w:rsidP="00F010DE" w:rsidRDefault="00C71553" w14:paraId="4D3271ED" w14:textId="77777777">
            <w:pPr>
              <w:rPr>
                <w:rFonts w:cs="Calibri"/>
                <w:lang w:val="en-GB" w:eastAsia="en-GB"/>
              </w:rPr>
            </w:pPr>
            <w:r w:rsidRPr="00466D0F">
              <w:rPr>
                <w:rFonts w:cs="Calibri"/>
                <w:lang w:val="en-GB" w:eastAsia="en-GB"/>
              </w:rPr>
              <w:t>3%</w:t>
            </w:r>
          </w:p>
        </w:tc>
      </w:tr>
      <w:tr w:rsidRPr="00466D0F" w:rsidR="00C71553" w:rsidTr="003265C9" w14:paraId="6326AC4C" w14:textId="77777777">
        <w:trPr>
          <w:trHeight w:val="300"/>
        </w:trPr>
        <w:tc>
          <w:tcPr>
            <w:tcW w:w="3261" w:type="dxa"/>
            <w:tcBorders>
              <w:top w:val="nil"/>
              <w:left w:val="single" w:color="FFFFFF" w:themeColor="background1" w:sz="4" w:space="0"/>
              <w:bottom w:val="single" w:color="FFFFFF" w:themeColor="background1" w:sz="4" w:space="0"/>
              <w:right w:val="single" w:color="FFFFFF" w:themeColor="background1" w:sz="4" w:space="0"/>
            </w:tcBorders>
            <w:shd w:val="clear" w:color="auto" w:fill="A6C9EC"/>
            <w:noWrap/>
            <w:vAlign w:val="center"/>
            <w:hideMark/>
          </w:tcPr>
          <w:p w:rsidRPr="00466D0F" w:rsidR="00C71553" w:rsidP="00F010DE" w:rsidRDefault="00C71553" w14:paraId="534D62B6" w14:textId="77777777">
            <w:pPr>
              <w:rPr>
                <w:rFonts w:cs="Calibri"/>
                <w:lang w:val="en-GB" w:eastAsia="en-GB"/>
              </w:rPr>
            </w:pPr>
            <w:r w:rsidRPr="00466D0F">
              <w:rPr>
                <w:rFonts w:cs="Calibri"/>
                <w:lang w:val="en-GB" w:eastAsia="en-GB"/>
              </w:rPr>
              <w:t>Domiciliary Care</w:t>
            </w:r>
          </w:p>
        </w:tc>
        <w:tc>
          <w:tcPr>
            <w:tcW w:w="1554" w:type="dxa"/>
            <w:tcBorders>
              <w:top w:val="nil"/>
              <w:left w:val="nil"/>
              <w:bottom w:val="single" w:color="FFFFFF" w:themeColor="background1" w:sz="4" w:space="0"/>
              <w:right w:val="single" w:color="FFFFFF" w:themeColor="background1" w:sz="4" w:space="0"/>
            </w:tcBorders>
            <w:shd w:val="clear" w:color="auto" w:fill="A6C9EC"/>
            <w:noWrap/>
            <w:vAlign w:val="center"/>
          </w:tcPr>
          <w:p w:rsidRPr="00466D0F" w:rsidR="00C71553" w:rsidP="00F010DE" w:rsidRDefault="00C71553" w14:paraId="5AD0C26C" w14:textId="77777777">
            <w:pPr>
              <w:rPr>
                <w:rFonts w:cs="Calibri"/>
                <w:lang w:val="en-GB" w:eastAsia="en-GB"/>
              </w:rPr>
            </w:pPr>
            <w:r w:rsidRPr="00466D0F">
              <w:rPr>
                <w:rFonts w:cs="Calibri"/>
                <w:lang w:val="en-GB" w:eastAsia="en-GB"/>
              </w:rPr>
              <w:t>4</w:t>
            </w:r>
          </w:p>
        </w:tc>
        <w:tc>
          <w:tcPr>
            <w:tcW w:w="1984" w:type="dxa"/>
            <w:tcBorders>
              <w:top w:val="nil"/>
              <w:left w:val="nil"/>
              <w:bottom w:val="single" w:color="FFFFFF" w:themeColor="background1" w:sz="4" w:space="0"/>
              <w:right w:val="single" w:color="FFFFFF" w:themeColor="background1" w:sz="4" w:space="0"/>
            </w:tcBorders>
            <w:shd w:val="clear" w:color="auto" w:fill="A6C9EC"/>
            <w:noWrap/>
            <w:vAlign w:val="center"/>
          </w:tcPr>
          <w:p w:rsidRPr="00466D0F" w:rsidR="00C71553" w:rsidP="00F010DE" w:rsidRDefault="00C71553" w14:paraId="15BF8F11" w14:textId="77777777">
            <w:pPr>
              <w:rPr>
                <w:rFonts w:cs="Calibri"/>
                <w:lang w:val="en-GB" w:eastAsia="en-GB"/>
              </w:rPr>
            </w:pPr>
            <w:r w:rsidRPr="00466D0F">
              <w:rPr>
                <w:rFonts w:cs="Calibri"/>
                <w:lang w:val="en-GB" w:eastAsia="en-GB"/>
              </w:rPr>
              <w:t>20</w:t>
            </w:r>
          </w:p>
        </w:tc>
        <w:tc>
          <w:tcPr>
            <w:tcW w:w="2279" w:type="dxa"/>
            <w:tcBorders>
              <w:top w:val="nil"/>
              <w:left w:val="nil"/>
              <w:bottom w:val="single" w:color="FFFFFF" w:themeColor="background1" w:sz="4" w:space="0"/>
              <w:right w:val="single" w:color="FFFFFF" w:themeColor="background1" w:sz="4" w:space="0"/>
            </w:tcBorders>
            <w:shd w:val="clear" w:color="auto" w:fill="A6C9EC"/>
            <w:noWrap/>
            <w:vAlign w:val="center"/>
            <w:hideMark/>
          </w:tcPr>
          <w:p w:rsidRPr="00466D0F" w:rsidR="00C71553" w:rsidP="00F010DE" w:rsidRDefault="00C71553" w14:paraId="70E02CE1" w14:textId="77777777">
            <w:pPr>
              <w:rPr>
                <w:rFonts w:cs="Calibri"/>
                <w:lang w:val="en-GB" w:eastAsia="en-GB"/>
              </w:rPr>
            </w:pPr>
            <w:r w:rsidRPr="00466D0F">
              <w:rPr>
                <w:rFonts w:cs="Calibri"/>
                <w:lang w:val="en-GB" w:eastAsia="en-GB"/>
              </w:rPr>
              <w:t>400%</w:t>
            </w:r>
          </w:p>
        </w:tc>
      </w:tr>
      <w:tr w:rsidRPr="00466D0F" w:rsidR="00C71553" w:rsidTr="003265C9" w14:paraId="4105B608" w14:textId="77777777">
        <w:trPr>
          <w:trHeight w:val="300"/>
        </w:trPr>
        <w:tc>
          <w:tcPr>
            <w:tcW w:w="3261" w:type="dxa"/>
            <w:tcBorders>
              <w:top w:val="nil"/>
              <w:left w:val="single" w:color="FFFFFF" w:themeColor="background1" w:sz="4" w:space="0"/>
              <w:bottom w:val="single" w:color="FFFFFF" w:themeColor="background1" w:sz="4" w:space="0"/>
              <w:right w:val="single" w:color="FFFFFF" w:themeColor="background1" w:sz="4" w:space="0"/>
            </w:tcBorders>
            <w:shd w:val="clear" w:color="auto" w:fill="CAEDFB" w:themeFill="accent4" w:themeFillTint="33"/>
            <w:noWrap/>
            <w:vAlign w:val="center"/>
            <w:hideMark/>
          </w:tcPr>
          <w:p w:rsidRPr="00466D0F" w:rsidR="00C71553" w:rsidP="00F010DE" w:rsidRDefault="00C71553" w14:paraId="5DACC37D" w14:textId="77777777">
            <w:pPr>
              <w:rPr>
                <w:rFonts w:cs="Calibri"/>
                <w:lang w:val="en-GB" w:eastAsia="en-GB"/>
              </w:rPr>
            </w:pPr>
            <w:r w:rsidRPr="00466D0F">
              <w:rPr>
                <w:rFonts w:cs="Calibri"/>
                <w:lang w:val="en-GB" w:eastAsia="en-GB"/>
              </w:rPr>
              <w:t>Support Services</w:t>
            </w:r>
          </w:p>
        </w:tc>
        <w:tc>
          <w:tcPr>
            <w:tcW w:w="1554" w:type="dxa"/>
            <w:tcBorders>
              <w:top w:val="nil"/>
              <w:left w:val="nil"/>
              <w:bottom w:val="single" w:color="FFFFFF" w:themeColor="background1" w:sz="4" w:space="0"/>
              <w:right w:val="single" w:color="FFFFFF" w:themeColor="background1" w:sz="4" w:space="0"/>
            </w:tcBorders>
            <w:shd w:val="clear" w:color="auto" w:fill="CAEDFB" w:themeFill="accent4" w:themeFillTint="33"/>
            <w:noWrap/>
            <w:vAlign w:val="center"/>
          </w:tcPr>
          <w:p w:rsidRPr="00466D0F" w:rsidR="00C71553" w:rsidP="00F010DE" w:rsidRDefault="00C71553" w14:paraId="47D4711F" w14:textId="77777777">
            <w:pPr>
              <w:rPr>
                <w:rFonts w:cs="Calibri"/>
                <w:lang w:val="en-GB" w:eastAsia="en-GB"/>
              </w:rPr>
            </w:pPr>
            <w:r w:rsidRPr="00466D0F">
              <w:rPr>
                <w:rFonts w:cs="Calibri"/>
                <w:lang w:val="en-GB" w:eastAsia="en-GB"/>
              </w:rPr>
              <w:t>29</w:t>
            </w:r>
          </w:p>
        </w:tc>
        <w:tc>
          <w:tcPr>
            <w:tcW w:w="1984" w:type="dxa"/>
            <w:tcBorders>
              <w:top w:val="nil"/>
              <w:left w:val="nil"/>
              <w:bottom w:val="single" w:color="FFFFFF" w:themeColor="background1" w:sz="4" w:space="0"/>
              <w:right w:val="single" w:color="FFFFFF" w:themeColor="background1" w:sz="4" w:space="0"/>
            </w:tcBorders>
            <w:shd w:val="clear" w:color="auto" w:fill="CAEDFB" w:themeFill="accent4" w:themeFillTint="33"/>
            <w:noWrap/>
            <w:vAlign w:val="center"/>
          </w:tcPr>
          <w:p w:rsidRPr="00466D0F" w:rsidR="00C71553" w:rsidP="00F010DE" w:rsidRDefault="00C71553" w14:paraId="3C047C84" w14:textId="77777777">
            <w:pPr>
              <w:rPr>
                <w:rFonts w:cs="Calibri"/>
                <w:lang w:val="en-GB" w:eastAsia="en-GB"/>
              </w:rPr>
            </w:pPr>
            <w:r w:rsidRPr="00466D0F">
              <w:rPr>
                <w:rFonts w:cs="Calibri"/>
                <w:lang w:val="en-GB" w:eastAsia="en-GB"/>
              </w:rPr>
              <w:t>33</w:t>
            </w:r>
          </w:p>
        </w:tc>
        <w:tc>
          <w:tcPr>
            <w:tcW w:w="2279" w:type="dxa"/>
            <w:tcBorders>
              <w:top w:val="nil"/>
              <w:left w:val="nil"/>
              <w:bottom w:val="single" w:color="FFFFFF" w:themeColor="background1" w:sz="4" w:space="0"/>
              <w:right w:val="single" w:color="FFFFFF" w:themeColor="background1" w:sz="4" w:space="0"/>
            </w:tcBorders>
            <w:shd w:val="clear" w:color="auto" w:fill="CAEDFB" w:themeFill="accent4" w:themeFillTint="33"/>
            <w:noWrap/>
            <w:vAlign w:val="center"/>
            <w:hideMark/>
          </w:tcPr>
          <w:p w:rsidRPr="00466D0F" w:rsidR="00C71553" w:rsidP="00F010DE" w:rsidRDefault="00C71553" w14:paraId="1329AE05" w14:textId="77777777">
            <w:pPr>
              <w:rPr>
                <w:rFonts w:cs="Calibri"/>
                <w:lang w:val="en-GB" w:eastAsia="en-GB"/>
              </w:rPr>
            </w:pPr>
            <w:r w:rsidRPr="00466D0F">
              <w:rPr>
                <w:rFonts w:cs="Calibri"/>
                <w:lang w:val="en-GB" w:eastAsia="en-GB"/>
              </w:rPr>
              <w:t>14%</w:t>
            </w:r>
          </w:p>
        </w:tc>
      </w:tr>
      <w:tr w:rsidRPr="00466D0F" w:rsidR="00C71553" w:rsidTr="00B81CA0" w14:paraId="67CF3188" w14:textId="77777777">
        <w:trPr>
          <w:trHeight w:val="300"/>
        </w:trPr>
        <w:tc>
          <w:tcPr>
            <w:tcW w:w="3261" w:type="dxa"/>
            <w:tcBorders>
              <w:top w:val="nil"/>
              <w:left w:val="single" w:color="FFFFFF" w:themeColor="background1" w:sz="4" w:space="0"/>
              <w:bottom w:val="single" w:color="FFFFFF" w:themeColor="background1" w:sz="4" w:space="0"/>
              <w:right w:val="single" w:color="FFFFFF" w:themeColor="background1" w:sz="4" w:space="0"/>
            </w:tcBorders>
            <w:shd w:val="clear" w:color="auto" w:fill="A5C9EB" w:themeFill="text2" w:themeFillTint="40"/>
            <w:noWrap/>
            <w:vAlign w:val="center"/>
            <w:hideMark/>
          </w:tcPr>
          <w:p w:rsidRPr="00466D0F" w:rsidR="00C71553" w:rsidP="00F010DE" w:rsidRDefault="00C71553" w14:paraId="13251DF0" w14:textId="77777777">
            <w:pPr>
              <w:rPr>
                <w:rFonts w:cs="Calibri"/>
                <w:lang w:val="en-GB" w:eastAsia="en-GB"/>
              </w:rPr>
            </w:pPr>
            <w:r w:rsidRPr="00466D0F">
              <w:rPr>
                <w:rFonts w:cs="Calibri"/>
                <w:lang w:val="en-GB" w:eastAsia="en-GB"/>
              </w:rPr>
              <w:t>Day Services (External)</w:t>
            </w:r>
          </w:p>
        </w:tc>
        <w:tc>
          <w:tcPr>
            <w:tcW w:w="1554" w:type="dxa"/>
            <w:tcBorders>
              <w:top w:val="nil"/>
              <w:left w:val="nil"/>
              <w:bottom w:val="single" w:color="FFFFFF" w:themeColor="background1" w:sz="4" w:space="0"/>
              <w:right w:val="single" w:color="FFFFFF" w:themeColor="background1" w:sz="4" w:space="0"/>
            </w:tcBorders>
            <w:shd w:val="clear" w:color="auto" w:fill="A5C9EB" w:themeFill="text2" w:themeFillTint="40"/>
            <w:noWrap/>
            <w:vAlign w:val="center"/>
          </w:tcPr>
          <w:p w:rsidRPr="00466D0F" w:rsidR="00C71553" w:rsidP="00F010DE" w:rsidRDefault="00C71553" w14:paraId="11FA292D" w14:textId="77777777">
            <w:pPr>
              <w:rPr>
                <w:rFonts w:cs="Calibri"/>
                <w:lang w:val="en-GB" w:eastAsia="en-GB"/>
              </w:rPr>
            </w:pPr>
            <w:r w:rsidRPr="00466D0F">
              <w:rPr>
                <w:rFonts w:cs="Calibri"/>
                <w:lang w:val="en-GB" w:eastAsia="en-GB"/>
              </w:rPr>
              <w:t>11</w:t>
            </w:r>
          </w:p>
        </w:tc>
        <w:tc>
          <w:tcPr>
            <w:tcW w:w="1984" w:type="dxa"/>
            <w:tcBorders>
              <w:top w:val="nil"/>
              <w:left w:val="nil"/>
              <w:bottom w:val="single" w:color="FFFFFF" w:themeColor="background1" w:sz="4" w:space="0"/>
              <w:right w:val="single" w:color="FFFFFF" w:themeColor="background1" w:sz="4" w:space="0"/>
            </w:tcBorders>
            <w:shd w:val="clear" w:color="auto" w:fill="A5C9EB" w:themeFill="text2" w:themeFillTint="40"/>
            <w:noWrap/>
            <w:vAlign w:val="center"/>
          </w:tcPr>
          <w:p w:rsidRPr="00466D0F" w:rsidR="00C71553" w:rsidP="00F010DE" w:rsidRDefault="00C71553" w14:paraId="450A6489" w14:textId="77777777">
            <w:pPr>
              <w:rPr>
                <w:rFonts w:cs="Calibri"/>
                <w:lang w:val="en-GB" w:eastAsia="en-GB"/>
              </w:rPr>
            </w:pPr>
            <w:r w:rsidRPr="00466D0F">
              <w:rPr>
                <w:rFonts w:cs="Calibri"/>
                <w:lang w:val="en-GB" w:eastAsia="en-GB"/>
              </w:rPr>
              <w:t>12</w:t>
            </w:r>
          </w:p>
        </w:tc>
        <w:tc>
          <w:tcPr>
            <w:tcW w:w="2279" w:type="dxa"/>
            <w:tcBorders>
              <w:top w:val="nil"/>
              <w:left w:val="nil"/>
              <w:bottom w:val="single" w:color="FFFFFF" w:themeColor="background1" w:sz="4" w:space="0"/>
              <w:right w:val="single" w:color="FFFFFF" w:themeColor="background1" w:sz="4" w:space="0"/>
            </w:tcBorders>
            <w:shd w:val="clear" w:color="auto" w:fill="A5C9EB" w:themeFill="text2" w:themeFillTint="40"/>
            <w:noWrap/>
            <w:vAlign w:val="center"/>
            <w:hideMark/>
          </w:tcPr>
          <w:p w:rsidRPr="00466D0F" w:rsidR="00C71553" w:rsidP="00F010DE" w:rsidRDefault="00C71553" w14:paraId="3ABFB6A8" w14:textId="77777777">
            <w:pPr>
              <w:rPr>
                <w:rFonts w:cs="Calibri"/>
                <w:lang w:val="en-GB" w:eastAsia="en-GB"/>
              </w:rPr>
            </w:pPr>
            <w:r w:rsidRPr="00466D0F">
              <w:rPr>
                <w:rFonts w:cs="Calibri"/>
                <w:lang w:val="en-GB" w:eastAsia="en-GB"/>
              </w:rPr>
              <w:t>9%</w:t>
            </w:r>
          </w:p>
        </w:tc>
      </w:tr>
    </w:tbl>
    <w:p w:rsidRPr="00466D0F" w:rsidR="00963ED7" w:rsidP="00F010DE" w:rsidRDefault="00963ED7" w14:paraId="0C138944" w14:textId="77777777">
      <w:pPr>
        <w:rPr>
          <w:rFonts w:cs="Calibri"/>
          <w:lang w:val="en-GB"/>
        </w:rPr>
      </w:pPr>
    </w:p>
    <w:p w:rsidRPr="00466D0F" w:rsidR="00C3140F" w:rsidP="00F010DE" w:rsidRDefault="000258C1" w14:paraId="0DC8A1FF" w14:textId="25F62BB0">
      <w:pPr>
        <w:rPr>
          <w:rFonts w:cs="Calibri"/>
          <w:lang w:val="en-GB"/>
        </w:rPr>
      </w:pPr>
      <w:r w:rsidRPr="00466D0F">
        <w:rPr>
          <w:rFonts w:cs="Calibri"/>
          <w:lang w:val="en-GB"/>
        </w:rPr>
        <w:t>Commissioned Providers</w:t>
      </w:r>
    </w:p>
    <w:tbl>
      <w:tblPr>
        <w:tblpPr w:leftFromText="180" w:rightFromText="180" w:vertAnchor="text" w:tblpY="1"/>
        <w:tblOverlap w:val="never"/>
        <w:tblW w:w="9078" w:type="dxa"/>
        <w:tblLook w:val="04A0" w:firstRow="1" w:lastRow="0" w:firstColumn="1" w:lastColumn="0" w:noHBand="0" w:noVBand="1"/>
      </w:tblPr>
      <w:tblGrid>
        <w:gridCol w:w="3261"/>
        <w:gridCol w:w="1554"/>
        <w:gridCol w:w="1711"/>
        <w:gridCol w:w="2552"/>
      </w:tblGrid>
      <w:tr w:rsidRPr="00466D0F" w:rsidR="00C3140F" w:rsidTr="000258C1" w14:paraId="2827CEA4" w14:textId="77777777">
        <w:trPr>
          <w:trHeight w:val="268"/>
        </w:trPr>
        <w:tc>
          <w:tcPr>
            <w:tcW w:w="3261"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215C98"/>
            <w:noWrap/>
            <w:vAlign w:val="center"/>
            <w:hideMark/>
          </w:tcPr>
          <w:p w:rsidRPr="00466D0F" w:rsidR="00C3140F" w:rsidP="00F010DE" w:rsidRDefault="00FA17AE" w14:paraId="64FB60AB" w14:textId="7B29689B">
            <w:pPr>
              <w:rPr>
                <w:rFonts w:cs="Calibri"/>
                <w:lang w:val="en-GB" w:eastAsia="en-GB"/>
              </w:rPr>
            </w:pPr>
            <w:r w:rsidRPr="00466D0F">
              <w:rPr>
                <w:rFonts w:cs="Calibri"/>
                <w:lang w:val="en-GB" w:eastAsia="en-GB"/>
              </w:rPr>
              <w:t>Category</w:t>
            </w:r>
          </w:p>
        </w:tc>
        <w:tc>
          <w:tcPr>
            <w:tcW w:w="1554" w:type="dxa"/>
            <w:tcBorders>
              <w:top w:val="single" w:color="FFFFFF" w:themeColor="background1" w:sz="4" w:space="0"/>
              <w:left w:val="nil"/>
              <w:bottom w:val="single" w:color="FFFFFF" w:themeColor="background1" w:sz="4" w:space="0"/>
              <w:right w:val="single" w:color="FFFFFF" w:themeColor="background1" w:sz="4" w:space="0"/>
            </w:tcBorders>
            <w:shd w:val="clear" w:color="auto" w:fill="215C98"/>
            <w:noWrap/>
            <w:vAlign w:val="center"/>
            <w:hideMark/>
          </w:tcPr>
          <w:p w:rsidRPr="00466D0F" w:rsidR="00C3140F" w:rsidP="00F010DE" w:rsidRDefault="00C3140F" w14:paraId="1AB86055" w14:textId="77777777">
            <w:pPr>
              <w:rPr>
                <w:rFonts w:cs="Calibri"/>
                <w:lang w:val="en-GB" w:eastAsia="en-GB"/>
              </w:rPr>
            </w:pPr>
            <w:r w:rsidRPr="00466D0F">
              <w:rPr>
                <w:rFonts w:cs="Calibri"/>
                <w:lang w:val="en-GB" w:eastAsia="en-GB"/>
              </w:rPr>
              <w:t>April 2025</w:t>
            </w:r>
          </w:p>
        </w:tc>
        <w:tc>
          <w:tcPr>
            <w:tcW w:w="1711" w:type="dxa"/>
            <w:tcBorders>
              <w:top w:val="single" w:color="FFFFFF" w:themeColor="background1" w:sz="4" w:space="0"/>
              <w:left w:val="nil"/>
              <w:bottom w:val="single" w:color="FFFFFF" w:themeColor="background1" w:sz="4" w:space="0"/>
              <w:right w:val="single" w:color="FFFFFF" w:themeColor="background1" w:sz="4" w:space="0"/>
            </w:tcBorders>
            <w:shd w:val="clear" w:color="auto" w:fill="215C98"/>
            <w:noWrap/>
            <w:vAlign w:val="center"/>
            <w:hideMark/>
          </w:tcPr>
          <w:p w:rsidRPr="00466D0F" w:rsidR="00C3140F" w:rsidP="00F010DE" w:rsidRDefault="00C3140F" w14:paraId="2E54590C" w14:textId="77777777">
            <w:pPr>
              <w:rPr>
                <w:rFonts w:cs="Calibri"/>
                <w:lang w:val="en-GB" w:eastAsia="en-GB"/>
              </w:rPr>
            </w:pPr>
            <w:r w:rsidRPr="00466D0F">
              <w:rPr>
                <w:rFonts w:cs="Calibri"/>
                <w:lang w:val="en-GB" w:eastAsia="en-GB"/>
              </w:rPr>
              <w:t>April 2026</w:t>
            </w:r>
          </w:p>
        </w:tc>
        <w:tc>
          <w:tcPr>
            <w:tcW w:w="2552" w:type="dxa"/>
            <w:tcBorders>
              <w:top w:val="single" w:color="FFFFFF" w:themeColor="background1" w:sz="4" w:space="0"/>
              <w:left w:val="nil"/>
              <w:bottom w:val="single" w:color="FFFFFF" w:themeColor="background1" w:sz="4" w:space="0"/>
              <w:right w:val="single" w:color="FFFFFF" w:themeColor="background1" w:sz="4" w:space="0"/>
            </w:tcBorders>
            <w:shd w:val="clear" w:color="auto" w:fill="215C98"/>
            <w:noWrap/>
            <w:vAlign w:val="center"/>
            <w:hideMark/>
          </w:tcPr>
          <w:p w:rsidRPr="00466D0F" w:rsidR="00C3140F" w:rsidP="00F010DE" w:rsidRDefault="00C3140F" w14:paraId="74E8F5BA" w14:textId="77777777">
            <w:pPr>
              <w:rPr>
                <w:rFonts w:cs="Calibri"/>
                <w:lang w:val="en-GB" w:eastAsia="en-GB"/>
              </w:rPr>
            </w:pPr>
            <w:r w:rsidRPr="00466D0F">
              <w:rPr>
                <w:rFonts w:cs="Calibri"/>
                <w:lang w:val="en-GB" w:eastAsia="en-GB"/>
              </w:rPr>
              <w:t>Growth/Reduction %</w:t>
            </w:r>
          </w:p>
        </w:tc>
      </w:tr>
      <w:tr w:rsidRPr="00466D0F" w:rsidR="00C3140F" w:rsidTr="000258C1" w14:paraId="75E20C51" w14:textId="77777777">
        <w:trPr>
          <w:trHeight w:val="300"/>
        </w:trPr>
        <w:tc>
          <w:tcPr>
            <w:tcW w:w="3261" w:type="dxa"/>
            <w:tcBorders>
              <w:top w:val="nil"/>
              <w:left w:val="single" w:color="FFFFFF" w:themeColor="background1" w:sz="4" w:space="0"/>
              <w:bottom w:val="single" w:color="FFFFFF" w:themeColor="background1" w:sz="4" w:space="0"/>
              <w:right w:val="single" w:color="FFFFFF" w:themeColor="background1" w:sz="4" w:space="0"/>
            </w:tcBorders>
            <w:shd w:val="clear" w:color="auto" w:fill="A6C9EC"/>
            <w:noWrap/>
            <w:vAlign w:val="center"/>
            <w:hideMark/>
          </w:tcPr>
          <w:p w:rsidRPr="00466D0F" w:rsidR="00C3140F" w:rsidP="00F010DE" w:rsidRDefault="00C3140F" w14:paraId="1A2F3CFA" w14:textId="77777777">
            <w:pPr>
              <w:rPr>
                <w:rFonts w:cs="Calibri"/>
                <w:lang w:val="en-GB" w:eastAsia="en-GB"/>
              </w:rPr>
            </w:pPr>
            <w:r w:rsidRPr="00466D0F">
              <w:rPr>
                <w:rFonts w:cs="Calibri"/>
                <w:lang w:val="en-GB" w:eastAsia="en-GB"/>
              </w:rPr>
              <w:t>Bed Based - Residential</w:t>
            </w:r>
          </w:p>
        </w:tc>
        <w:tc>
          <w:tcPr>
            <w:tcW w:w="1554" w:type="dxa"/>
            <w:tcBorders>
              <w:top w:val="nil"/>
              <w:left w:val="nil"/>
              <w:bottom w:val="single" w:color="FFFFFF" w:themeColor="background1" w:sz="4" w:space="0"/>
              <w:right w:val="single" w:color="FFFFFF" w:themeColor="background1" w:sz="4" w:space="0"/>
            </w:tcBorders>
            <w:shd w:val="clear" w:color="auto" w:fill="A6C9EC"/>
            <w:noWrap/>
            <w:vAlign w:val="center"/>
            <w:hideMark/>
          </w:tcPr>
          <w:p w:rsidRPr="00466D0F" w:rsidR="00C3140F" w:rsidP="00F010DE" w:rsidRDefault="000835C0" w14:paraId="2142FCAB" w14:textId="5F3004DB">
            <w:pPr>
              <w:rPr>
                <w:rFonts w:cs="Calibri"/>
                <w:lang w:val="en-GB" w:eastAsia="en-GB"/>
              </w:rPr>
            </w:pPr>
            <w:r w:rsidRPr="00466D0F">
              <w:rPr>
                <w:rFonts w:cs="Calibri"/>
                <w:lang w:val="en-GB" w:eastAsia="en-GB"/>
              </w:rPr>
              <w:t>115</w:t>
            </w:r>
          </w:p>
        </w:tc>
        <w:tc>
          <w:tcPr>
            <w:tcW w:w="1711" w:type="dxa"/>
            <w:tcBorders>
              <w:top w:val="nil"/>
              <w:left w:val="nil"/>
              <w:bottom w:val="single" w:color="FFFFFF" w:themeColor="background1" w:sz="4" w:space="0"/>
              <w:right w:val="single" w:color="FFFFFF" w:themeColor="background1" w:sz="4" w:space="0"/>
            </w:tcBorders>
            <w:shd w:val="clear" w:color="auto" w:fill="A6C9EC"/>
            <w:noWrap/>
            <w:vAlign w:val="center"/>
            <w:hideMark/>
          </w:tcPr>
          <w:p w:rsidRPr="00466D0F" w:rsidR="00C3140F" w:rsidP="00F010DE" w:rsidRDefault="00C3140F" w14:paraId="21E3E84A" w14:textId="77777777">
            <w:pPr>
              <w:rPr>
                <w:rFonts w:cs="Calibri"/>
                <w:lang w:val="en-GB" w:eastAsia="en-GB"/>
              </w:rPr>
            </w:pPr>
            <w:r w:rsidRPr="00466D0F">
              <w:rPr>
                <w:rFonts w:cs="Calibri"/>
                <w:lang w:val="en-GB" w:eastAsia="en-GB"/>
              </w:rPr>
              <w:t>104</w:t>
            </w:r>
          </w:p>
        </w:tc>
        <w:tc>
          <w:tcPr>
            <w:tcW w:w="2552" w:type="dxa"/>
            <w:tcBorders>
              <w:top w:val="nil"/>
              <w:left w:val="nil"/>
              <w:bottom w:val="single" w:color="FFFFFF" w:themeColor="background1" w:sz="4" w:space="0"/>
              <w:right w:val="single" w:color="FFFFFF" w:themeColor="background1" w:sz="4" w:space="0"/>
            </w:tcBorders>
            <w:shd w:val="clear" w:color="auto" w:fill="A6C9EC"/>
            <w:noWrap/>
            <w:vAlign w:val="center"/>
            <w:hideMark/>
          </w:tcPr>
          <w:p w:rsidRPr="00466D0F" w:rsidR="00C3140F" w:rsidP="00F010DE" w:rsidRDefault="00B40D1C" w14:paraId="3F533341" w14:textId="1B778487">
            <w:pPr>
              <w:rPr>
                <w:rFonts w:cs="Calibri"/>
                <w:lang w:val="en-GB" w:eastAsia="en-GB"/>
              </w:rPr>
            </w:pPr>
            <w:r w:rsidRPr="00466D0F">
              <w:rPr>
                <w:rFonts w:cs="Calibri"/>
                <w:lang w:val="en-GB" w:eastAsia="en-GB"/>
              </w:rPr>
              <w:t>-10</w:t>
            </w:r>
            <w:r w:rsidRPr="00466D0F" w:rsidR="00047B3D">
              <w:rPr>
                <w:rFonts w:cs="Calibri"/>
                <w:lang w:val="en-GB" w:eastAsia="en-GB"/>
              </w:rPr>
              <w:t>%</w:t>
            </w:r>
          </w:p>
        </w:tc>
      </w:tr>
      <w:tr w:rsidRPr="00466D0F" w:rsidR="00C3140F" w:rsidTr="000258C1" w14:paraId="328280EE" w14:textId="77777777">
        <w:trPr>
          <w:trHeight w:val="300"/>
        </w:trPr>
        <w:tc>
          <w:tcPr>
            <w:tcW w:w="3261" w:type="dxa"/>
            <w:tcBorders>
              <w:top w:val="nil"/>
              <w:left w:val="single" w:color="FFFFFF" w:themeColor="background1" w:sz="4" w:space="0"/>
              <w:bottom w:val="single" w:color="FFFFFF" w:themeColor="background1" w:sz="4" w:space="0"/>
              <w:right w:val="single" w:color="FFFFFF" w:themeColor="background1" w:sz="4" w:space="0"/>
            </w:tcBorders>
            <w:shd w:val="clear" w:color="auto" w:fill="CAEDFB" w:themeFill="accent4" w:themeFillTint="33"/>
            <w:noWrap/>
            <w:vAlign w:val="center"/>
            <w:hideMark/>
          </w:tcPr>
          <w:p w:rsidRPr="00466D0F" w:rsidR="00C3140F" w:rsidP="00F010DE" w:rsidRDefault="00C3140F" w14:paraId="7BFF791B" w14:textId="77777777">
            <w:pPr>
              <w:rPr>
                <w:rFonts w:cs="Calibri"/>
                <w:lang w:val="en-GB" w:eastAsia="en-GB"/>
              </w:rPr>
            </w:pPr>
            <w:r w:rsidRPr="00466D0F">
              <w:rPr>
                <w:rFonts w:cs="Calibri"/>
                <w:lang w:val="en-GB" w:eastAsia="en-GB"/>
              </w:rPr>
              <w:t>Bed Based - Nursing</w:t>
            </w:r>
          </w:p>
        </w:tc>
        <w:tc>
          <w:tcPr>
            <w:tcW w:w="1554" w:type="dxa"/>
            <w:tcBorders>
              <w:top w:val="nil"/>
              <w:left w:val="nil"/>
              <w:bottom w:val="single" w:color="FFFFFF" w:themeColor="background1" w:sz="4" w:space="0"/>
              <w:right w:val="single" w:color="FFFFFF" w:themeColor="background1" w:sz="4" w:space="0"/>
            </w:tcBorders>
            <w:shd w:val="clear" w:color="auto" w:fill="CAEDFB" w:themeFill="accent4" w:themeFillTint="33"/>
            <w:noWrap/>
            <w:vAlign w:val="center"/>
            <w:hideMark/>
          </w:tcPr>
          <w:p w:rsidRPr="00466D0F" w:rsidR="00C3140F" w:rsidP="00F010DE" w:rsidRDefault="008444AE" w14:paraId="12D6006A" w14:textId="1939D8E6">
            <w:pPr>
              <w:rPr>
                <w:rFonts w:cs="Calibri"/>
                <w:lang w:val="en-GB" w:eastAsia="en-GB"/>
              </w:rPr>
            </w:pPr>
            <w:r w:rsidRPr="00466D0F">
              <w:rPr>
                <w:rFonts w:cs="Calibri"/>
                <w:lang w:val="en-GB" w:eastAsia="en-GB"/>
              </w:rPr>
              <w:t>56</w:t>
            </w:r>
          </w:p>
        </w:tc>
        <w:tc>
          <w:tcPr>
            <w:tcW w:w="1711" w:type="dxa"/>
            <w:tcBorders>
              <w:top w:val="nil"/>
              <w:left w:val="nil"/>
              <w:bottom w:val="single" w:color="FFFFFF" w:themeColor="background1" w:sz="4" w:space="0"/>
              <w:right w:val="single" w:color="FFFFFF" w:themeColor="background1" w:sz="4" w:space="0"/>
            </w:tcBorders>
            <w:shd w:val="clear" w:color="auto" w:fill="CAEDFB" w:themeFill="accent4" w:themeFillTint="33"/>
            <w:noWrap/>
            <w:vAlign w:val="center"/>
            <w:hideMark/>
          </w:tcPr>
          <w:p w:rsidRPr="00466D0F" w:rsidR="00C3140F" w:rsidP="00F010DE" w:rsidRDefault="00C3140F" w14:paraId="36DAA2DF" w14:textId="77777777">
            <w:pPr>
              <w:rPr>
                <w:rFonts w:cs="Calibri"/>
                <w:lang w:val="en-GB" w:eastAsia="en-GB"/>
              </w:rPr>
            </w:pPr>
            <w:r w:rsidRPr="00466D0F">
              <w:rPr>
                <w:rFonts w:cs="Calibri"/>
                <w:lang w:val="en-GB" w:eastAsia="en-GB"/>
              </w:rPr>
              <w:t>62</w:t>
            </w:r>
          </w:p>
        </w:tc>
        <w:tc>
          <w:tcPr>
            <w:tcW w:w="2552" w:type="dxa"/>
            <w:tcBorders>
              <w:top w:val="nil"/>
              <w:left w:val="nil"/>
              <w:bottom w:val="single" w:color="FFFFFF" w:themeColor="background1" w:sz="4" w:space="0"/>
              <w:right w:val="single" w:color="FFFFFF" w:themeColor="background1" w:sz="4" w:space="0"/>
            </w:tcBorders>
            <w:shd w:val="clear" w:color="auto" w:fill="CAEDFB" w:themeFill="accent4" w:themeFillTint="33"/>
            <w:noWrap/>
            <w:vAlign w:val="center"/>
            <w:hideMark/>
          </w:tcPr>
          <w:p w:rsidRPr="00466D0F" w:rsidR="00C3140F" w:rsidP="00F010DE" w:rsidRDefault="00047B3D" w14:paraId="7CA71FF9" w14:textId="7814B42E">
            <w:pPr>
              <w:rPr>
                <w:rFonts w:cs="Calibri"/>
                <w:lang w:val="en-GB" w:eastAsia="en-GB"/>
              </w:rPr>
            </w:pPr>
            <w:r w:rsidRPr="00466D0F">
              <w:rPr>
                <w:rFonts w:cs="Calibri"/>
                <w:lang w:val="en-GB" w:eastAsia="en-GB"/>
              </w:rPr>
              <w:t>11%</w:t>
            </w:r>
          </w:p>
        </w:tc>
      </w:tr>
      <w:tr w:rsidRPr="00466D0F" w:rsidR="00C3140F" w:rsidTr="000258C1" w14:paraId="1D504539" w14:textId="77777777">
        <w:trPr>
          <w:trHeight w:val="300"/>
        </w:trPr>
        <w:tc>
          <w:tcPr>
            <w:tcW w:w="3261" w:type="dxa"/>
            <w:tcBorders>
              <w:top w:val="nil"/>
              <w:left w:val="single" w:color="FFFFFF" w:themeColor="background1" w:sz="4" w:space="0"/>
              <w:bottom w:val="single" w:color="FFFFFF" w:themeColor="background1" w:sz="4" w:space="0"/>
              <w:right w:val="single" w:color="FFFFFF" w:themeColor="background1" w:sz="4" w:space="0"/>
            </w:tcBorders>
            <w:shd w:val="clear" w:color="auto" w:fill="A6C9EC"/>
            <w:noWrap/>
            <w:vAlign w:val="center"/>
            <w:hideMark/>
          </w:tcPr>
          <w:p w:rsidRPr="00466D0F" w:rsidR="00C3140F" w:rsidP="00F010DE" w:rsidRDefault="00C3140F" w14:paraId="5398EC79" w14:textId="77777777">
            <w:pPr>
              <w:rPr>
                <w:rFonts w:cs="Calibri"/>
                <w:lang w:val="en-GB" w:eastAsia="en-GB"/>
              </w:rPr>
            </w:pPr>
            <w:r w:rsidRPr="00466D0F">
              <w:rPr>
                <w:rFonts w:cs="Calibri"/>
                <w:lang w:val="en-GB" w:eastAsia="en-GB"/>
              </w:rPr>
              <w:t>Domiciliary Care</w:t>
            </w:r>
          </w:p>
        </w:tc>
        <w:tc>
          <w:tcPr>
            <w:tcW w:w="1554" w:type="dxa"/>
            <w:tcBorders>
              <w:top w:val="nil"/>
              <w:left w:val="nil"/>
              <w:bottom w:val="single" w:color="FFFFFF" w:themeColor="background1" w:sz="4" w:space="0"/>
              <w:right w:val="single" w:color="FFFFFF" w:themeColor="background1" w:sz="4" w:space="0"/>
            </w:tcBorders>
            <w:shd w:val="clear" w:color="auto" w:fill="A6C9EC"/>
            <w:noWrap/>
            <w:vAlign w:val="center"/>
            <w:hideMark/>
          </w:tcPr>
          <w:p w:rsidRPr="00466D0F" w:rsidR="00C3140F" w:rsidP="00F010DE" w:rsidRDefault="00C3140F" w14:paraId="2CB4B8C6" w14:textId="77777777">
            <w:pPr>
              <w:rPr>
                <w:rFonts w:cs="Calibri"/>
                <w:lang w:val="en-GB" w:eastAsia="en-GB"/>
              </w:rPr>
            </w:pPr>
            <w:r w:rsidRPr="00466D0F">
              <w:rPr>
                <w:rFonts w:cs="Calibri"/>
                <w:lang w:val="en-GB" w:eastAsia="en-GB"/>
              </w:rPr>
              <w:t>116</w:t>
            </w:r>
          </w:p>
        </w:tc>
        <w:tc>
          <w:tcPr>
            <w:tcW w:w="1711" w:type="dxa"/>
            <w:tcBorders>
              <w:top w:val="nil"/>
              <w:left w:val="nil"/>
              <w:bottom w:val="single" w:color="FFFFFF" w:themeColor="background1" w:sz="4" w:space="0"/>
              <w:right w:val="single" w:color="FFFFFF" w:themeColor="background1" w:sz="4" w:space="0"/>
            </w:tcBorders>
            <w:shd w:val="clear" w:color="auto" w:fill="A6C9EC"/>
            <w:noWrap/>
            <w:vAlign w:val="center"/>
            <w:hideMark/>
          </w:tcPr>
          <w:p w:rsidRPr="00466D0F" w:rsidR="00C3140F" w:rsidP="00F010DE" w:rsidRDefault="00C3140F" w14:paraId="2C213D1A" w14:textId="77777777">
            <w:pPr>
              <w:rPr>
                <w:rFonts w:cs="Calibri"/>
                <w:lang w:val="en-GB" w:eastAsia="en-GB"/>
              </w:rPr>
            </w:pPr>
            <w:r w:rsidRPr="00466D0F">
              <w:rPr>
                <w:rFonts w:cs="Calibri"/>
                <w:lang w:val="en-GB" w:eastAsia="en-GB"/>
              </w:rPr>
              <w:t>120</w:t>
            </w:r>
          </w:p>
        </w:tc>
        <w:tc>
          <w:tcPr>
            <w:tcW w:w="2552" w:type="dxa"/>
            <w:tcBorders>
              <w:top w:val="nil"/>
              <w:left w:val="nil"/>
              <w:bottom w:val="single" w:color="FFFFFF" w:themeColor="background1" w:sz="4" w:space="0"/>
              <w:right w:val="single" w:color="FFFFFF" w:themeColor="background1" w:sz="4" w:space="0"/>
            </w:tcBorders>
            <w:shd w:val="clear" w:color="auto" w:fill="A6C9EC"/>
            <w:noWrap/>
            <w:vAlign w:val="center"/>
            <w:hideMark/>
          </w:tcPr>
          <w:p w:rsidRPr="00466D0F" w:rsidR="00C3140F" w:rsidP="00F010DE" w:rsidRDefault="00C3140F" w14:paraId="1231D8A1" w14:textId="77777777">
            <w:pPr>
              <w:rPr>
                <w:rFonts w:cs="Calibri"/>
                <w:lang w:val="en-GB" w:eastAsia="en-GB"/>
              </w:rPr>
            </w:pPr>
            <w:r w:rsidRPr="00466D0F">
              <w:rPr>
                <w:rFonts w:cs="Calibri"/>
                <w:lang w:val="en-GB" w:eastAsia="en-GB"/>
              </w:rPr>
              <w:t>3%</w:t>
            </w:r>
          </w:p>
        </w:tc>
      </w:tr>
      <w:tr w:rsidRPr="00466D0F" w:rsidR="00C3140F" w:rsidTr="000258C1" w14:paraId="5D6A2717" w14:textId="77777777">
        <w:trPr>
          <w:trHeight w:val="300"/>
        </w:trPr>
        <w:tc>
          <w:tcPr>
            <w:tcW w:w="3261" w:type="dxa"/>
            <w:tcBorders>
              <w:top w:val="nil"/>
              <w:left w:val="single" w:color="FFFFFF" w:themeColor="background1" w:sz="4" w:space="0"/>
              <w:bottom w:val="single" w:color="FFFFFF" w:themeColor="background1" w:sz="4" w:space="0"/>
              <w:right w:val="single" w:color="FFFFFF" w:themeColor="background1" w:sz="4" w:space="0"/>
            </w:tcBorders>
            <w:shd w:val="clear" w:color="auto" w:fill="CAEDFB" w:themeFill="accent4" w:themeFillTint="33"/>
            <w:noWrap/>
            <w:vAlign w:val="center"/>
            <w:hideMark/>
          </w:tcPr>
          <w:p w:rsidRPr="00466D0F" w:rsidR="00C3140F" w:rsidP="00F010DE" w:rsidRDefault="00C3140F" w14:paraId="2B7C600B" w14:textId="77777777">
            <w:pPr>
              <w:rPr>
                <w:rFonts w:cs="Calibri"/>
                <w:lang w:val="en-GB" w:eastAsia="en-GB"/>
              </w:rPr>
            </w:pPr>
            <w:r w:rsidRPr="00466D0F">
              <w:rPr>
                <w:rFonts w:cs="Calibri"/>
                <w:lang w:val="en-GB" w:eastAsia="en-GB"/>
              </w:rPr>
              <w:t>Support Services</w:t>
            </w:r>
          </w:p>
        </w:tc>
        <w:tc>
          <w:tcPr>
            <w:tcW w:w="1554" w:type="dxa"/>
            <w:tcBorders>
              <w:top w:val="nil"/>
              <w:left w:val="nil"/>
              <w:bottom w:val="single" w:color="FFFFFF" w:themeColor="background1" w:sz="4" w:space="0"/>
              <w:right w:val="single" w:color="FFFFFF" w:themeColor="background1" w:sz="4" w:space="0"/>
            </w:tcBorders>
            <w:shd w:val="clear" w:color="auto" w:fill="CAEDFB" w:themeFill="accent4" w:themeFillTint="33"/>
            <w:noWrap/>
            <w:vAlign w:val="center"/>
            <w:hideMark/>
          </w:tcPr>
          <w:p w:rsidRPr="00466D0F" w:rsidR="00C3140F" w:rsidP="00F010DE" w:rsidRDefault="00C3140F" w14:paraId="5D7D52A5" w14:textId="77777777">
            <w:pPr>
              <w:rPr>
                <w:rFonts w:cs="Calibri"/>
                <w:lang w:val="en-GB" w:eastAsia="en-GB"/>
              </w:rPr>
            </w:pPr>
            <w:r w:rsidRPr="00466D0F">
              <w:rPr>
                <w:rFonts w:cs="Calibri"/>
                <w:lang w:val="en-GB" w:eastAsia="en-GB"/>
              </w:rPr>
              <w:t>82</w:t>
            </w:r>
          </w:p>
        </w:tc>
        <w:tc>
          <w:tcPr>
            <w:tcW w:w="1711" w:type="dxa"/>
            <w:tcBorders>
              <w:top w:val="nil"/>
              <w:left w:val="nil"/>
              <w:bottom w:val="single" w:color="FFFFFF" w:themeColor="background1" w:sz="4" w:space="0"/>
              <w:right w:val="single" w:color="FFFFFF" w:themeColor="background1" w:sz="4" w:space="0"/>
            </w:tcBorders>
            <w:shd w:val="clear" w:color="auto" w:fill="CAEDFB" w:themeFill="accent4" w:themeFillTint="33"/>
            <w:noWrap/>
            <w:vAlign w:val="center"/>
            <w:hideMark/>
          </w:tcPr>
          <w:p w:rsidRPr="00466D0F" w:rsidR="00C3140F" w:rsidP="00F010DE" w:rsidRDefault="00C3140F" w14:paraId="2BD87D2D" w14:textId="77777777">
            <w:pPr>
              <w:rPr>
                <w:rFonts w:cs="Calibri"/>
                <w:lang w:val="en-GB" w:eastAsia="en-GB"/>
              </w:rPr>
            </w:pPr>
            <w:r w:rsidRPr="00466D0F">
              <w:rPr>
                <w:rFonts w:cs="Calibri"/>
                <w:lang w:val="en-GB" w:eastAsia="en-GB"/>
              </w:rPr>
              <w:t>82</w:t>
            </w:r>
          </w:p>
        </w:tc>
        <w:tc>
          <w:tcPr>
            <w:tcW w:w="2552" w:type="dxa"/>
            <w:tcBorders>
              <w:top w:val="nil"/>
              <w:left w:val="nil"/>
              <w:bottom w:val="single" w:color="FFFFFF" w:themeColor="background1" w:sz="4" w:space="0"/>
              <w:right w:val="single" w:color="FFFFFF" w:themeColor="background1" w:sz="4" w:space="0"/>
            </w:tcBorders>
            <w:shd w:val="clear" w:color="auto" w:fill="CAEDFB" w:themeFill="accent4" w:themeFillTint="33"/>
            <w:noWrap/>
            <w:vAlign w:val="center"/>
            <w:hideMark/>
          </w:tcPr>
          <w:p w:rsidRPr="00466D0F" w:rsidR="00C3140F" w:rsidP="00F010DE" w:rsidRDefault="00C3140F" w14:paraId="2B46FD24" w14:textId="77777777">
            <w:pPr>
              <w:rPr>
                <w:rFonts w:cs="Calibri"/>
                <w:lang w:val="en-GB" w:eastAsia="en-GB"/>
              </w:rPr>
            </w:pPr>
            <w:r w:rsidRPr="00466D0F">
              <w:rPr>
                <w:rFonts w:cs="Calibri"/>
                <w:lang w:val="en-GB" w:eastAsia="en-GB"/>
              </w:rPr>
              <w:t>0%</w:t>
            </w:r>
          </w:p>
        </w:tc>
      </w:tr>
      <w:tr w:rsidRPr="00466D0F" w:rsidR="00C3140F" w:rsidTr="000258C1" w14:paraId="7E489D97" w14:textId="77777777">
        <w:trPr>
          <w:trHeight w:val="300"/>
        </w:trPr>
        <w:tc>
          <w:tcPr>
            <w:tcW w:w="3261" w:type="dxa"/>
            <w:tcBorders>
              <w:top w:val="nil"/>
              <w:left w:val="single" w:color="FFFFFF" w:themeColor="background1" w:sz="4" w:space="0"/>
              <w:bottom w:val="single" w:color="FFFFFF" w:themeColor="background1" w:sz="4" w:space="0"/>
              <w:right w:val="single" w:color="FFFFFF" w:themeColor="background1" w:sz="4" w:space="0"/>
            </w:tcBorders>
            <w:shd w:val="clear" w:color="auto" w:fill="A6C9EC"/>
            <w:noWrap/>
            <w:vAlign w:val="center"/>
            <w:hideMark/>
          </w:tcPr>
          <w:p w:rsidRPr="00466D0F" w:rsidR="00C3140F" w:rsidP="00F010DE" w:rsidRDefault="00C3140F" w14:paraId="4C6A9577" w14:textId="77777777">
            <w:pPr>
              <w:rPr>
                <w:rFonts w:cs="Calibri"/>
                <w:lang w:val="en-GB" w:eastAsia="en-GB"/>
              </w:rPr>
            </w:pPr>
            <w:r w:rsidRPr="00466D0F">
              <w:rPr>
                <w:rFonts w:cs="Calibri"/>
                <w:lang w:val="en-GB" w:eastAsia="en-GB"/>
              </w:rPr>
              <w:t>Extra Sheltered Housing</w:t>
            </w:r>
          </w:p>
        </w:tc>
        <w:tc>
          <w:tcPr>
            <w:tcW w:w="1554" w:type="dxa"/>
            <w:tcBorders>
              <w:top w:val="nil"/>
              <w:left w:val="nil"/>
              <w:bottom w:val="single" w:color="FFFFFF" w:themeColor="background1" w:sz="4" w:space="0"/>
              <w:right w:val="single" w:color="FFFFFF" w:themeColor="background1" w:sz="4" w:space="0"/>
            </w:tcBorders>
            <w:shd w:val="clear" w:color="auto" w:fill="A6C9EC"/>
            <w:noWrap/>
            <w:vAlign w:val="center"/>
            <w:hideMark/>
          </w:tcPr>
          <w:p w:rsidRPr="00466D0F" w:rsidR="00C3140F" w:rsidP="00F010DE" w:rsidRDefault="00C3140F" w14:paraId="2FF4D697" w14:textId="77777777">
            <w:pPr>
              <w:rPr>
                <w:rFonts w:cs="Calibri"/>
                <w:lang w:val="en-GB" w:eastAsia="en-GB"/>
              </w:rPr>
            </w:pPr>
            <w:r w:rsidRPr="00466D0F">
              <w:rPr>
                <w:rFonts w:cs="Calibri"/>
                <w:lang w:val="en-GB" w:eastAsia="en-GB"/>
              </w:rPr>
              <w:t>7</w:t>
            </w:r>
          </w:p>
        </w:tc>
        <w:tc>
          <w:tcPr>
            <w:tcW w:w="1711" w:type="dxa"/>
            <w:tcBorders>
              <w:top w:val="nil"/>
              <w:left w:val="nil"/>
              <w:bottom w:val="single" w:color="FFFFFF" w:themeColor="background1" w:sz="4" w:space="0"/>
              <w:right w:val="single" w:color="FFFFFF" w:themeColor="background1" w:sz="4" w:space="0"/>
            </w:tcBorders>
            <w:shd w:val="clear" w:color="auto" w:fill="A6C9EC"/>
            <w:noWrap/>
            <w:vAlign w:val="center"/>
            <w:hideMark/>
          </w:tcPr>
          <w:p w:rsidRPr="00466D0F" w:rsidR="00C3140F" w:rsidP="00F010DE" w:rsidRDefault="00C3140F" w14:paraId="5ED928F5" w14:textId="77777777">
            <w:pPr>
              <w:rPr>
                <w:rFonts w:cs="Calibri"/>
                <w:lang w:val="en-GB" w:eastAsia="en-GB"/>
              </w:rPr>
            </w:pPr>
            <w:r w:rsidRPr="00466D0F">
              <w:rPr>
                <w:rFonts w:cs="Calibri"/>
                <w:lang w:val="en-GB" w:eastAsia="en-GB"/>
              </w:rPr>
              <w:t>7</w:t>
            </w:r>
          </w:p>
        </w:tc>
        <w:tc>
          <w:tcPr>
            <w:tcW w:w="2552" w:type="dxa"/>
            <w:tcBorders>
              <w:top w:val="nil"/>
              <w:left w:val="nil"/>
              <w:bottom w:val="single" w:color="FFFFFF" w:themeColor="background1" w:sz="4" w:space="0"/>
              <w:right w:val="single" w:color="FFFFFF" w:themeColor="background1" w:sz="4" w:space="0"/>
            </w:tcBorders>
            <w:shd w:val="clear" w:color="auto" w:fill="A6C9EC"/>
            <w:noWrap/>
            <w:vAlign w:val="center"/>
            <w:hideMark/>
          </w:tcPr>
          <w:p w:rsidRPr="00466D0F" w:rsidR="00C3140F" w:rsidP="00F010DE" w:rsidRDefault="00C3140F" w14:paraId="4C05317E" w14:textId="77777777">
            <w:pPr>
              <w:rPr>
                <w:rFonts w:cs="Calibri"/>
                <w:lang w:val="en-GB" w:eastAsia="en-GB"/>
              </w:rPr>
            </w:pPr>
            <w:r w:rsidRPr="00466D0F">
              <w:rPr>
                <w:rFonts w:cs="Calibri"/>
                <w:lang w:val="en-GB" w:eastAsia="en-GB"/>
              </w:rPr>
              <w:t>0%</w:t>
            </w:r>
          </w:p>
        </w:tc>
      </w:tr>
      <w:tr w:rsidRPr="00466D0F" w:rsidR="00C3140F" w:rsidTr="000258C1" w14:paraId="78FD888F" w14:textId="77777777">
        <w:trPr>
          <w:trHeight w:val="300"/>
        </w:trPr>
        <w:tc>
          <w:tcPr>
            <w:tcW w:w="3261" w:type="dxa"/>
            <w:tcBorders>
              <w:top w:val="nil"/>
              <w:left w:val="single" w:color="FFFFFF" w:themeColor="background1" w:sz="4" w:space="0"/>
              <w:bottom w:val="single" w:color="FFFFFF" w:themeColor="background1" w:sz="4" w:space="0"/>
              <w:right w:val="single" w:color="FFFFFF" w:themeColor="background1" w:sz="4" w:space="0"/>
            </w:tcBorders>
            <w:shd w:val="clear" w:color="auto" w:fill="CAEDFB" w:themeFill="accent4" w:themeFillTint="33"/>
            <w:noWrap/>
            <w:vAlign w:val="center"/>
            <w:hideMark/>
          </w:tcPr>
          <w:p w:rsidRPr="00466D0F" w:rsidR="00C3140F" w:rsidP="00F010DE" w:rsidRDefault="00C3140F" w14:paraId="42D29C7F" w14:textId="77777777">
            <w:pPr>
              <w:rPr>
                <w:rFonts w:cs="Calibri"/>
                <w:lang w:val="en-GB" w:eastAsia="en-GB"/>
              </w:rPr>
            </w:pPr>
            <w:r w:rsidRPr="00466D0F">
              <w:rPr>
                <w:rFonts w:cs="Calibri"/>
                <w:lang w:val="en-GB" w:eastAsia="en-GB"/>
              </w:rPr>
              <w:t>Day Services (External)</w:t>
            </w:r>
          </w:p>
        </w:tc>
        <w:tc>
          <w:tcPr>
            <w:tcW w:w="1554" w:type="dxa"/>
            <w:tcBorders>
              <w:top w:val="nil"/>
              <w:left w:val="nil"/>
              <w:bottom w:val="single" w:color="FFFFFF" w:themeColor="background1" w:sz="4" w:space="0"/>
              <w:right w:val="single" w:color="FFFFFF" w:themeColor="background1" w:sz="4" w:space="0"/>
            </w:tcBorders>
            <w:shd w:val="clear" w:color="auto" w:fill="CAEDFB" w:themeFill="accent4" w:themeFillTint="33"/>
            <w:noWrap/>
            <w:vAlign w:val="center"/>
            <w:hideMark/>
          </w:tcPr>
          <w:p w:rsidRPr="00466D0F" w:rsidR="00C3140F" w:rsidP="00F010DE" w:rsidRDefault="00C3140F" w14:paraId="24CA8AAE" w14:textId="77777777">
            <w:pPr>
              <w:rPr>
                <w:rFonts w:cs="Calibri"/>
                <w:lang w:val="en-GB" w:eastAsia="en-GB"/>
              </w:rPr>
            </w:pPr>
            <w:r w:rsidRPr="00466D0F">
              <w:rPr>
                <w:rFonts w:cs="Calibri"/>
                <w:lang w:val="en-GB" w:eastAsia="en-GB"/>
              </w:rPr>
              <w:t>23</w:t>
            </w:r>
          </w:p>
        </w:tc>
        <w:tc>
          <w:tcPr>
            <w:tcW w:w="1711" w:type="dxa"/>
            <w:tcBorders>
              <w:top w:val="nil"/>
              <w:left w:val="nil"/>
              <w:bottom w:val="single" w:color="FFFFFF" w:themeColor="background1" w:sz="4" w:space="0"/>
              <w:right w:val="single" w:color="FFFFFF" w:themeColor="background1" w:sz="4" w:space="0"/>
            </w:tcBorders>
            <w:shd w:val="clear" w:color="auto" w:fill="CAEDFB" w:themeFill="accent4" w:themeFillTint="33"/>
            <w:noWrap/>
            <w:vAlign w:val="center"/>
            <w:hideMark/>
          </w:tcPr>
          <w:p w:rsidRPr="00466D0F" w:rsidR="00C3140F" w:rsidP="00F010DE" w:rsidRDefault="00C3140F" w14:paraId="09370730" w14:textId="77777777">
            <w:pPr>
              <w:rPr>
                <w:rFonts w:cs="Calibri"/>
                <w:lang w:val="en-GB" w:eastAsia="en-GB"/>
              </w:rPr>
            </w:pPr>
            <w:r w:rsidRPr="00466D0F">
              <w:rPr>
                <w:rFonts w:cs="Calibri"/>
                <w:lang w:val="en-GB" w:eastAsia="en-GB"/>
              </w:rPr>
              <w:t>26</w:t>
            </w:r>
          </w:p>
        </w:tc>
        <w:tc>
          <w:tcPr>
            <w:tcW w:w="2552" w:type="dxa"/>
            <w:tcBorders>
              <w:top w:val="nil"/>
              <w:left w:val="nil"/>
              <w:bottom w:val="single" w:color="FFFFFF" w:themeColor="background1" w:sz="4" w:space="0"/>
              <w:right w:val="single" w:color="FFFFFF" w:themeColor="background1" w:sz="4" w:space="0"/>
            </w:tcBorders>
            <w:shd w:val="clear" w:color="auto" w:fill="CAEDFB" w:themeFill="accent4" w:themeFillTint="33"/>
            <w:noWrap/>
            <w:vAlign w:val="center"/>
            <w:hideMark/>
          </w:tcPr>
          <w:p w:rsidRPr="00466D0F" w:rsidR="00C3140F" w:rsidP="00F010DE" w:rsidRDefault="00C3140F" w14:paraId="1F1B64FA" w14:textId="77777777">
            <w:pPr>
              <w:rPr>
                <w:rFonts w:cs="Calibri"/>
                <w:lang w:val="en-GB" w:eastAsia="en-GB"/>
              </w:rPr>
            </w:pPr>
            <w:r w:rsidRPr="00466D0F">
              <w:rPr>
                <w:rFonts w:cs="Calibri"/>
                <w:lang w:val="en-GB" w:eastAsia="en-GB"/>
              </w:rPr>
              <w:t>13%</w:t>
            </w:r>
          </w:p>
        </w:tc>
      </w:tr>
      <w:tr w:rsidRPr="00466D0F" w:rsidR="00C3140F" w:rsidTr="000258C1" w14:paraId="6E77CFBF" w14:textId="77777777">
        <w:trPr>
          <w:trHeight w:val="300"/>
        </w:trPr>
        <w:tc>
          <w:tcPr>
            <w:tcW w:w="3261" w:type="dxa"/>
            <w:tcBorders>
              <w:top w:val="nil"/>
              <w:left w:val="single" w:color="FFFFFF" w:themeColor="background1" w:sz="4" w:space="0"/>
              <w:bottom w:val="single" w:color="FFFFFF" w:themeColor="background1" w:sz="4" w:space="0"/>
              <w:right w:val="single" w:color="FFFFFF" w:themeColor="background1" w:sz="4" w:space="0"/>
            </w:tcBorders>
            <w:shd w:val="clear" w:color="auto" w:fill="A6C9EC"/>
            <w:noWrap/>
            <w:vAlign w:val="center"/>
            <w:hideMark/>
          </w:tcPr>
          <w:p w:rsidRPr="00466D0F" w:rsidR="00C3140F" w:rsidP="00F010DE" w:rsidRDefault="00C3140F" w14:paraId="316CC991" w14:textId="77777777">
            <w:pPr>
              <w:rPr>
                <w:rFonts w:cs="Calibri"/>
                <w:lang w:val="en-GB" w:eastAsia="en-GB"/>
              </w:rPr>
            </w:pPr>
            <w:r w:rsidRPr="00466D0F">
              <w:rPr>
                <w:rFonts w:cs="Calibri"/>
                <w:lang w:val="en-GB" w:eastAsia="en-GB"/>
              </w:rPr>
              <w:t>Day Services (Internal)</w:t>
            </w:r>
          </w:p>
        </w:tc>
        <w:tc>
          <w:tcPr>
            <w:tcW w:w="1554" w:type="dxa"/>
            <w:tcBorders>
              <w:top w:val="nil"/>
              <w:left w:val="nil"/>
              <w:bottom w:val="single" w:color="FFFFFF" w:themeColor="background1" w:sz="4" w:space="0"/>
              <w:right w:val="single" w:color="FFFFFF" w:themeColor="background1" w:sz="4" w:space="0"/>
            </w:tcBorders>
            <w:shd w:val="clear" w:color="auto" w:fill="A6C9EC"/>
            <w:noWrap/>
            <w:vAlign w:val="center"/>
            <w:hideMark/>
          </w:tcPr>
          <w:p w:rsidRPr="00466D0F" w:rsidR="00C3140F" w:rsidP="00F010DE" w:rsidRDefault="00C3140F" w14:paraId="357D7DA4" w14:textId="77777777">
            <w:pPr>
              <w:rPr>
                <w:rFonts w:cs="Calibri"/>
                <w:lang w:val="en-GB" w:eastAsia="en-GB"/>
              </w:rPr>
            </w:pPr>
            <w:r w:rsidRPr="00466D0F">
              <w:rPr>
                <w:rFonts w:cs="Calibri"/>
                <w:lang w:val="en-GB" w:eastAsia="en-GB"/>
              </w:rPr>
              <w:t>8</w:t>
            </w:r>
          </w:p>
        </w:tc>
        <w:tc>
          <w:tcPr>
            <w:tcW w:w="1711" w:type="dxa"/>
            <w:tcBorders>
              <w:top w:val="nil"/>
              <w:left w:val="nil"/>
              <w:bottom w:val="single" w:color="FFFFFF" w:themeColor="background1" w:sz="4" w:space="0"/>
              <w:right w:val="single" w:color="FFFFFF" w:themeColor="background1" w:sz="4" w:space="0"/>
            </w:tcBorders>
            <w:shd w:val="clear" w:color="auto" w:fill="A6C9EC"/>
            <w:noWrap/>
            <w:vAlign w:val="center"/>
            <w:hideMark/>
          </w:tcPr>
          <w:p w:rsidRPr="00466D0F" w:rsidR="00C3140F" w:rsidP="00F010DE" w:rsidRDefault="00C3140F" w14:paraId="2A49DEBC" w14:textId="3CD15A37">
            <w:pPr>
              <w:rPr>
                <w:rFonts w:cs="Calibri"/>
                <w:color w:val="000000"/>
                <w:lang w:val="en-GB" w:eastAsia="en-GB"/>
              </w:rPr>
            </w:pPr>
            <w:r w:rsidRPr="00466D0F">
              <w:rPr>
                <w:rFonts w:cs="Calibri"/>
                <w:lang w:val="en-GB" w:eastAsia="en-GB"/>
              </w:rPr>
              <w:t>7</w:t>
            </w:r>
          </w:p>
        </w:tc>
        <w:tc>
          <w:tcPr>
            <w:tcW w:w="2552" w:type="dxa"/>
            <w:tcBorders>
              <w:top w:val="nil"/>
              <w:left w:val="nil"/>
              <w:bottom w:val="single" w:color="FFFFFF" w:themeColor="background1" w:sz="4" w:space="0"/>
              <w:right w:val="single" w:color="FFFFFF" w:themeColor="background1" w:sz="4" w:space="0"/>
            </w:tcBorders>
            <w:shd w:val="clear" w:color="auto" w:fill="A6C9EC"/>
            <w:noWrap/>
            <w:vAlign w:val="center"/>
            <w:hideMark/>
          </w:tcPr>
          <w:p w:rsidRPr="00466D0F" w:rsidR="00C3140F" w:rsidP="00F010DE" w:rsidRDefault="00C3140F" w14:paraId="6EF2AA2F" w14:textId="77777777">
            <w:pPr>
              <w:rPr>
                <w:rFonts w:cs="Calibri"/>
                <w:lang w:val="en-GB" w:eastAsia="en-GB"/>
              </w:rPr>
            </w:pPr>
            <w:r w:rsidRPr="00466D0F">
              <w:rPr>
                <w:rFonts w:cs="Calibri"/>
                <w:lang w:val="en-GB" w:eastAsia="en-GB"/>
              </w:rPr>
              <w:t>-13%</w:t>
            </w:r>
          </w:p>
        </w:tc>
      </w:tr>
    </w:tbl>
    <w:p w:rsidRPr="00466D0F" w:rsidR="00602C9D" w:rsidP="00F010DE" w:rsidRDefault="00602C9D" w14:paraId="5479EE51" w14:textId="77777777">
      <w:pPr>
        <w:rPr>
          <w:rFonts w:cs="Calibri"/>
          <w:lang w:val="en-GB" w:eastAsia="en-GB"/>
        </w:rPr>
      </w:pPr>
    </w:p>
    <w:p w:rsidR="002924F6" w:rsidRDefault="002924F6" w14:paraId="0DB9CF4F" w14:textId="77777777">
      <w:pPr>
        <w:rPr>
          <w:lang w:val="en-GB"/>
        </w:rPr>
      </w:pPr>
    </w:p>
    <w:p w:rsidR="002924F6" w:rsidRDefault="002924F6" w14:paraId="7EC586C8" w14:textId="77777777">
      <w:pPr>
        <w:rPr>
          <w:lang w:val="en-GB"/>
        </w:rPr>
      </w:pPr>
    </w:p>
    <w:p w:rsidR="002924F6" w:rsidRDefault="002924F6" w14:paraId="30B54238" w14:textId="77777777">
      <w:pPr>
        <w:rPr>
          <w:lang w:val="en-GB"/>
        </w:rPr>
      </w:pPr>
    </w:p>
    <w:p w:rsidR="002924F6" w:rsidRDefault="002924F6" w14:paraId="675AB11F" w14:textId="77777777">
      <w:pPr>
        <w:rPr>
          <w:lang w:val="en-GB"/>
        </w:rPr>
      </w:pPr>
    </w:p>
    <w:p w:rsidR="002924F6" w:rsidRDefault="002924F6" w14:paraId="38CAD232" w14:textId="77777777">
      <w:pPr>
        <w:rPr>
          <w:lang w:val="en-GB"/>
        </w:rPr>
      </w:pPr>
    </w:p>
    <w:p w:rsidR="002924F6" w:rsidRDefault="002924F6" w14:paraId="7925CDE5" w14:textId="77777777">
      <w:pPr>
        <w:rPr>
          <w:lang w:val="en-GB"/>
        </w:rPr>
      </w:pPr>
    </w:p>
    <w:p w:rsidR="002924F6" w:rsidRDefault="002924F6" w14:paraId="78C4342E" w14:textId="77777777">
      <w:pPr>
        <w:rPr>
          <w:lang w:val="en-GB"/>
        </w:rPr>
      </w:pPr>
    </w:p>
    <w:p w:rsidR="002924F6" w:rsidRDefault="002924F6" w14:paraId="5CFD72D3" w14:textId="77777777">
      <w:pPr>
        <w:rPr>
          <w:lang w:val="en-GB"/>
        </w:rPr>
      </w:pPr>
    </w:p>
    <w:p w:rsidRPr="00466D0F" w:rsidR="00333FA1" w:rsidRDefault="00333FA1" w14:paraId="580E0A6B" w14:textId="77777777">
      <w:pPr>
        <w:rPr>
          <w:kern w:val="2"/>
          <w:lang w:val="en-GB" w:eastAsia="en-GB"/>
          <w14:ligatures w14:val="standardContextual"/>
        </w:rPr>
      </w:pPr>
      <w:r w:rsidRPr="00466D0F">
        <w:rPr>
          <w:lang w:val="en-GB"/>
        </w:rPr>
        <w:t>Figure 6: Commissioned packages out of county by care type (Source: ContrOCC internal data)</w:t>
      </w:r>
    </w:p>
    <w:p w:rsidRPr="00466D0F" w:rsidR="00602C9D" w:rsidP="00F010DE" w:rsidRDefault="00602C9D" w14:paraId="17387AB1" w14:textId="77777777">
      <w:pPr>
        <w:rPr>
          <w:rFonts w:cs="Calibri"/>
          <w:lang w:val="en-GB" w:eastAsia="en-GB"/>
        </w:rPr>
      </w:pPr>
    </w:p>
    <w:p w:rsidRPr="00466D0F" w:rsidR="00602C9D" w:rsidP="00F010DE" w:rsidRDefault="00602C9D" w14:paraId="4533D40E" w14:textId="77777777">
      <w:pPr>
        <w:rPr>
          <w:rFonts w:cs="Calibri"/>
          <w:lang w:val="en-GB" w:eastAsia="en-GB"/>
        </w:rPr>
      </w:pPr>
    </w:p>
    <w:p w:rsidRPr="00466D0F" w:rsidR="00602C9D" w:rsidP="00F010DE" w:rsidRDefault="00602C9D" w14:paraId="6B0AC76D" w14:textId="77777777">
      <w:pPr>
        <w:rPr>
          <w:rFonts w:cs="Calibri"/>
          <w:lang w:val="en-GB" w:eastAsia="en-GB"/>
        </w:rPr>
      </w:pPr>
    </w:p>
    <w:p w:rsidRPr="00466D0F" w:rsidR="00C71553" w:rsidP="00F010DE" w:rsidRDefault="00C71553" w14:paraId="413BE88F" w14:textId="77777777">
      <w:pPr>
        <w:rPr>
          <w:rFonts w:cs="Calibri"/>
          <w:lang w:val="en-GB" w:eastAsia="en-GB"/>
        </w:rPr>
      </w:pPr>
    </w:p>
    <w:p w:rsidRPr="00466D0F" w:rsidR="00602C9D" w:rsidP="00F010DE" w:rsidRDefault="00602C9D" w14:paraId="44EA573A" w14:textId="77777777">
      <w:pPr>
        <w:rPr>
          <w:rFonts w:cs="Calibri"/>
          <w:lang w:val="en-GB" w:eastAsia="en-GB"/>
        </w:rPr>
      </w:pPr>
    </w:p>
    <w:p w:rsidRPr="00466D0F" w:rsidR="00530009" w:rsidP="001C7685" w:rsidRDefault="00530009" w14:paraId="1AD579DC" w14:textId="77777777">
      <w:pPr>
        <w:pStyle w:val="Heading1"/>
      </w:pPr>
      <w:bookmarkStart w:name="_Toc231656174" w:id="11"/>
      <w:r w:rsidRPr="00466D0F">
        <w:t>Workforce</w:t>
      </w:r>
      <w:bookmarkEnd w:id="11"/>
    </w:p>
    <w:p w:rsidRPr="00466D0F" w:rsidR="00F010DE" w:rsidP="00F010DE" w:rsidRDefault="00F010DE" w14:paraId="219D2E06" w14:textId="77777777">
      <w:pPr>
        <w:rPr>
          <w:lang w:val="en-GB"/>
        </w:rPr>
      </w:pPr>
    </w:p>
    <w:p w:rsidRPr="00466D0F" w:rsidR="00530009" w:rsidP="001C7685" w:rsidRDefault="00530009" w14:paraId="0AB0B2C2" w14:textId="77777777">
      <w:pPr>
        <w:pStyle w:val="Heading2"/>
      </w:pPr>
      <w:bookmarkStart w:name="_Toc231656175" w:id="12"/>
      <w:r w:rsidRPr="00466D0F">
        <w:t>Workforce Capacity and Sustainability</w:t>
      </w:r>
      <w:bookmarkEnd w:id="12"/>
    </w:p>
    <w:p w:rsidRPr="00466D0F" w:rsidR="00C71553" w:rsidP="00C71553" w:rsidRDefault="00C71553" w14:paraId="3F44FC85" w14:textId="77777777">
      <w:pPr>
        <w:rPr>
          <w:kern w:val="2"/>
          <w:lang w:val="en-GB" w:eastAsia="en-GB"/>
          <w14:ligatures w14:val="standardContextual"/>
        </w:rPr>
      </w:pPr>
      <w:r w:rsidRPr="00466D0F">
        <w:rPr>
          <w:rStyle w:val="Heading3Char"/>
          <w:rFonts w:ascii="Calibri" w:hAnsi="Calibri"/>
          <w:color w:val="auto"/>
          <w:lang w:val="en-GB"/>
        </w:rPr>
        <w:t xml:space="preserve">The adult social care workforce remains a critical determinant of market capacity and resilience. National projections indicate the workforce will need to grow by around 32% by 2040 to meet increasing demand driven by population ageing, suggesting significant recruitment and retention challenges ahead. </w:t>
      </w:r>
      <w:r w:rsidRPr="00466D0F">
        <w:rPr>
          <w:lang w:val="en-GB"/>
        </w:rPr>
        <w:t>Gloucestershire’s rurality further compounds workforce challenges through travel time and cost barriers for domiciliary care, recruitment difficulties in dispersed communities, and competition with other sectors.</w:t>
      </w:r>
    </w:p>
    <w:p w:rsidRPr="00466D0F" w:rsidR="00530009" w:rsidP="00F010DE" w:rsidRDefault="00530009" w14:paraId="279FC1DF" w14:textId="77777777">
      <w:pPr>
        <w:rPr>
          <w:rFonts w:cs="Calibri"/>
          <w:lang w:val="en-GB"/>
        </w:rPr>
      </w:pPr>
    </w:p>
    <w:p w:rsidRPr="00466D0F" w:rsidR="00530009" w:rsidP="001C7685" w:rsidRDefault="00530009" w14:paraId="213F780D" w14:textId="77777777">
      <w:pPr>
        <w:pStyle w:val="Heading2"/>
      </w:pPr>
      <w:bookmarkStart w:name="_Toc231656176" w:id="13"/>
      <w:r w:rsidRPr="00466D0F">
        <w:t>Skills for Care Data</w:t>
      </w:r>
      <w:bookmarkEnd w:id="13"/>
      <w:r w:rsidRPr="00466D0F">
        <w:t xml:space="preserve"> </w:t>
      </w:r>
    </w:p>
    <w:p w:rsidRPr="00466D0F" w:rsidR="00530009" w:rsidP="00F010DE" w:rsidRDefault="00530009" w14:paraId="1AED4DF0" w14:textId="77777777">
      <w:pPr>
        <w:rPr>
          <w:rStyle w:val="Heading3Char"/>
          <w:rFonts w:ascii="Calibri" w:hAnsi="Calibri" w:cs="Calibri"/>
          <w:color w:val="auto"/>
          <w:lang w:val="en-GB"/>
        </w:rPr>
      </w:pPr>
      <w:r w:rsidRPr="00466D0F">
        <w:rPr>
          <w:rFonts w:cs="Calibri"/>
          <w:lang w:val="en-GB"/>
        </w:rPr>
        <w:t xml:space="preserve">Skills for Care provide an annual report on the state of the adult social care sector and workforce featuring key trends in filled posts, pay, recruitment and demographics. </w:t>
      </w:r>
      <w:r w:rsidRPr="00466D0F">
        <w:rPr>
          <w:rStyle w:val="Heading3Char"/>
          <w:rFonts w:ascii="Calibri" w:hAnsi="Calibri" w:cs="Calibri"/>
          <w:color w:val="auto"/>
          <w:lang w:val="en-GB"/>
        </w:rPr>
        <w:t xml:space="preserve">Whole market data is not yet available for 2025/26. The following data was published by Skills for Care for 2024/25. </w:t>
      </w:r>
    </w:p>
    <w:p w:rsidRPr="00466D0F" w:rsidR="00530009" w:rsidP="00F010DE" w:rsidRDefault="00530009" w14:paraId="6586FF4C" w14:textId="77777777">
      <w:pPr>
        <w:rPr>
          <w:rStyle w:val="Heading3Char"/>
          <w:rFonts w:ascii="Calibri" w:hAnsi="Calibri" w:cs="Calibri"/>
          <w:color w:val="auto"/>
          <w:lang w:val="en-GB"/>
        </w:rPr>
      </w:pPr>
    </w:p>
    <w:p w:rsidRPr="00466D0F" w:rsidR="007D59E7" w:rsidRDefault="007D59E7" w14:paraId="08878D99" w14:textId="77777777">
      <w:pPr>
        <w:rPr>
          <w:rStyle w:val="Heading3Char"/>
          <w:rFonts w:ascii="Calibri" w:hAnsi="Calibri"/>
          <w:color w:val="auto"/>
          <w:lang w:val="en-GB"/>
        </w:rPr>
      </w:pPr>
      <w:r w:rsidRPr="00466D0F">
        <w:rPr>
          <w:rStyle w:val="Heading3Char"/>
          <w:rFonts w:ascii="Calibri" w:hAnsi="Calibri"/>
          <w:color w:val="auto"/>
          <w:lang w:val="en-GB"/>
        </w:rPr>
        <w:t>Of 21,500 available posts, there were 1,100 vacant posts. This equates to a vacancy rate of 5.5%, a slight improvement from 6.8% in 2023/24. Registered Manager vacancy rates increased to 13.0%, up from 8.6% in the previous year, while overall turnover reduced from 21.9% to 19.9%. This suggests some improvement in retention, but continued fragility in leadership roles, which are essential to provider stability, quality and regulatory compliance.</w:t>
      </w:r>
    </w:p>
    <w:p w:rsidRPr="00466D0F" w:rsidR="00CF272F" w:rsidRDefault="00CF272F" w14:paraId="0C1134BA" w14:textId="77777777">
      <w:pPr>
        <w:rPr>
          <w:kern w:val="2"/>
          <w:lang w:val="en-GB" w:eastAsia="en-GB"/>
          <w14:ligatures w14:val="standardContextual"/>
        </w:rPr>
      </w:pPr>
    </w:p>
    <w:p w:rsidRPr="00466D0F" w:rsidR="00CF272F" w:rsidRDefault="00CF272F" w14:paraId="4198499E" w14:textId="77777777">
      <w:pPr>
        <w:rPr>
          <w:kern w:val="2"/>
          <w:lang w:val="en-GB" w:eastAsia="en-GB"/>
          <w14:ligatures w14:val="standardContextual"/>
        </w:rPr>
      </w:pPr>
      <w:r w:rsidRPr="00466D0F">
        <w:rPr>
          <w:lang w:val="en-GB"/>
        </w:rPr>
        <w:t>The vacancy rate for Registered Manager roles increased to 13.0% this year, up from 8.6% in the previous year. In contrast, turnover declined from 21.9% in 2023/24 to 19.9% in 2024/25. Despite 84% of Registered Managers having more than 10 years of experience, the increase in vacancies indicates continued fragility in leadership roles. In employment terms, 90% of the workforce are on permanent contracts, with 10% employed through temporary, bank, pool or agency arrangements. Across all roles, 16% of the workforce are on zero-hours contracts, rising to 20% for care workers. The workforce profile also shows an ageing pattern, with people under 25 underrepresented and 25% of the workforce aged 55 or over. This raises clear concerns about succession planning and the long-term sustainability of labour supply.</w:t>
      </w:r>
    </w:p>
    <w:p w:rsidRPr="00466D0F" w:rsidR="00530009" w:rsidP="00F010DE" w:rsidRDefault="00530009" w14:paraId="1D28B898" w14:textId="77777777">
      <w:pPr>
        <w:rPr>
          <w:rStyle w:val="Heading3Char"/>
          <w:rFonts w:ascii="Calibri" w:hAnsi="Calibri" w:cs="Calibri"/>
          <w:color w:val="auto"/>
          <w:lang w:val="en-GB"/>
        </w:rPr>
      </w:pPr>
    </w:p>
    <w:p w:rsidRPr="00466D0F" w:rsidR="00530009" w:rsidP="00F010DE" w:rsidRDefault="00530009" w14:paraId="3E3E5428" w14:textId="77777777">
      <w:pPr>
        <w:rPr>
          <w:rFonts w:cs="Calibri"/>
          <w:lang w:val="en-GB"/>
        </w:rPr>
      </w:pPr>
      <w:r w:rsidRPr="00466D0F">
        <w:rPr>
          <w:rFonts w:cs="Calibri"/>
          <w:lang w:val="en-GB"/>
        </w:rPr>
        <w:t>International workers make up 31% of care worker roles within the Gloucestershire workforce, compared to 21% in senior care worker roles. With the visa route closed to new care worker and senior care worker roles in July 2025, any further government changes are likely to pose a risk to the future stability and supply of the workforce.</w:t>
      </w:r>
    </w:p>
    <w:p w:rsidRPr="00466D0F" w:rsidR="00530009" w:rsidP="00F010DE" w:rsidRDefault="00530009" w14:paraId="782F55D0" w14:textId="77777777">
      <w:pPr>
        <w:rPr>
          <w:rFonts w:cs="Calibri"/>
          <w:lang w:val="en-GB"/>
        </w:rPr>
      </w:pPr>
    </w:p>
    <w:p w:rsidRPr="00466D0F" w:rsidR="0086132B" w:rsidRDefault="0086132B" w14:paraId="5F620438" w14:textId="77777777">
      <w:pPr>
        <w:rPr>
          <w:kern w:val="2"/>
          <w:lang w:val="en-GB" w:eastAsia="en-GB"/>
          <w14:ligatures w14:val="standardContextual"/>
        </w:rPr>
      </w:pPr>
      <w:r w:rsidRPr="00466D0F">
        <w:rPr>
          <w:lang w:val="en-GB"/>
        </w:rPr>
        <w:t>Average pay for care worker and support worker roles in the independent sector has increased over time, but the gap between roles remains small. This means there is limited financial incentive for progression into more senior or higher-responsibility posts. Pay also remains close to the National Living Wage and has not consistently kept pace with wider cost pressures, which is likely to continue affecting recruitment, retention and the attractiveness of the sector.</w:t>
      </w:r>
    </w:p>
    <w:p w:rsidRPr="00466D0F" w:rsidR="00530009" w:rsidP="00F010DE" w:rsidRDefault="00530009" w14:paraId="3F049518" w14:textId="77777777">
      <w:pPr>
        <w:rPr>
          <w:rFonts w:cs="Calibri"/>
          <w:lang w:val="en-GB"/>
        </w:rPr>
      </w:pPr>
    </w:p>
    <w:p w:rsidRPr="00466D0F" w:rsidR="00530009" w:rsidP="00F010DE" w:rsidRDefault="00530009" w14:paraId="146E175A" w14:textId="471787BB">
      <w:pPr>
        <w:rPr>
          <w:rFonts w:cs="Calibri"/>
          <w:lang w:val="en-GB"/>
        </w:rPr>
      </w:pPr>
      <w:r w:rsidRPr="00466D0F">
        <w:rPr>
          <w:rFonts w:cs="Calibri"/>
          <w:lang w:val="en-GB"/>
        </w:rPr>
        <w:t>In terms of qualifications and training, 43% of the workforce had completed the Care Certificate standards, while 37% held a qualification relevant to social care. This suggests that a significant proportion of staff may be working without formal qualifications, which could have implications for consistency of skills, quality of care, and opportunities for workforce development.</w:t>
      </w:r>
    </w:p>
    <w:p w:rsidRPr="00466D0F" w:rsidR="00530009" w:rsidP="00F010DE" w:rsidRDefault="00530009" w14:paraId="262B8887" w14:textId="77777777">
      <w:pPr>
        <w:rPr>
          <w:rFonts w:cs="Calibri"/>
          <w:lang w:val="en-GB"/>
        </w:rPr>
      </w:pPr>
    </w:p>
    <w:p w:rsidRPr="00466D0F" w:rsidR="00530009" w:rsidP="001C7685" w:rsidRDefault="00530009" w14:paraId="6F217251" w14:textId="77777777">
      <w:pPr>
        <w:pStyle w:val="Heading2"/>
      </w:pPr>
      <w:bookmarkStart w:name="_Toc231656177" w:id="14"/>
      <w:r w:rsidRPr="00466D0F">
        <w:t>Quarterly self-assessment workforce data</w:t>
      </w:r>
      <w:bookmarkEnd w:id="14"/>
    </w:p>
    <w:p w:rsidRPr="00466D0F" w:rsidR="00C71553" w:rsidP="00C71553" w:rsidRDefault="00C71553" w14:paraId="40062377" w14:textId="77777777">
      <w:pPr>
        <w:rPr>
          <w:kern w:val="2"/>
          <w:lang w:val="en-GB" w:eastAsia="en-GB"/>
          <w14:ligatures w14:val="standardContextual"/>
        </w:rPr>
      </w:pPr>
      <w:r w:rsidRPr="00466D0F">
        <w:rPr>
          <w:lang w:val="en-GB"/>
        </w:rPr>
        <w:t xml:space="preserve">Although the quarterly assessment was distributed to only 72% of the market during quarter 4, the analysis provides an early indication of current market trends. </w:t>
      </w:r>
      <w:r w:rsidRPr="00466D0F">
        <w:rPr>
          <w:rStyle w:val="Heading3Char"/>
          <w:rFonts w:ascii="Calibri" w:hAnsi="Calibri"/>
          <w:color w:val="auto"/>
          <w:lang w:val="en-GB"/>
        </w:rPr>
        <w:t xml:space="preserve">Of responses received, providers report that sponsored staff make up 27% of the workforce where a sponsorship licence is held, and 12% of the overall workforce. An average of 3% of the overall support provided was via agency staff during the quarter. Only 3% of providers reported agency use at over 25%, with the highest use at 36%. </w:t>
      </w:r>
    </w:p>
    <w:p w:rsidRPr="00466D0F" w:rsidR="00887DF6" w:rsidP="00F010DE" w:rsidRDefault="00887DF6" w14:paraId="79D3DE7D" w14:textId="77777777">
      <w:pPr>
        <w:rPr>
          <w:rStyle w:val="Heading3Char"/>
          <w:rFonts w:ascii="Calibri" w:hAnsi="Calibri" w:cs="Calibri"/>
          <w:color w:val="auto"/>
          <w:lang w:val="en-GB"/>
        </w:rPr>
      </w:pPr>
    </w:p>
    <w:p w:rsidRPr="00466D0F" w:rsidR="00530009" w:rsidP="00F010DE" w:rsidRDefault="00530009" w14:paraId="1FA083AA" w14:textId="57E8113D">
      <w:pPr>
        <w:rPr>
          <w:rStyle w:val="Heading3Char"/>
          <w:rFonts w:ascii="Calibri" w:hAnsi="Calibri" w:cs="Calibri"/>
          <w:color w:val="auto"/>
          <w:lang w:val="en-GB"/>
        </w:rPr>
      </w:pPr>
      <w:r w:rsidRPr="00466D0F">
        <w:rPr>
          <w:rStyle w:val="Heading3Char"/>
          <w:rFonts w:ascii="Calibri" w:hAnsi="Calibri" w:cs="Calibri"/>
          <w:color w:val="auto"/>
          <w:lang w:val="en-GB"/>
        </w:rPr>
        <w:t>Providers were asked to provide training compliance records for quarter 4. Average ratings were as follows:</w:t>
      </w:r>
    </w:p>
    <w:p w:rsidRPr="00466D0F" w:rsidR="00530009" w:rsidP="00F010DE" w:rsidRDefault="00530009" w14:paraId="2BEE6A85" w14:textId="77777777">
      <w:pPr>
        <w:pStyle w:val="ListParagraph"/>
        <w:numPr>
          <w:ilvl w:val="0"/>
          <w:numId w:val="29"/>
        </w:numPr>
        <w:rPr>
          <w:rStyle w:val="Heading3Char"/>
          <w:rFonts w:ascii="Calibri" w:hAnsi="Calibri" w:cs="Calibri"/>
          <w:color w:val="auto"/>
          <w:lang w:val="en-GB"/>
        </w:rPr>
      </w:pPr>
      <w:r w:rsidRPr="00466D0F">
        <w:rPr>
          <w:rStyle w:val="Heading3Char"/>
          <w:rFonts w:ascii="Calibri" w:hAnsi="Calibri" w:cs="Calibri"/>
          <w:color w:val="auto"/>
          <w:lang w:val="en-GB"/>
        </w:rPr>
        <w:t>Overall compliance: 92%, with 4% reporting compliance below 75%</w:t>
      </w:r>
    </w:p>
    <w:p w:rsidRPr="00466D0F" w:rsidR="00530009" w:rsidP="00F010DE" w:rsidRDefault="00530009" w14:paraId="74792C1B" w14:textId="77777777">
      <w:pPr>
        <w:pStyle w:val="ListParagraph"/>
        <w:numPr>
          <w:ilvl w:val="0"/>
          <w:numId w:val="29"/>
        </w:numPr>
        <w:rPr>
          <w:rStyle w:val="Heading3Char"/>
          <w:rFonts w:ascii="Calibri" w:hAnsi="Calibri" w:cs="Calibri"/>
          <w:color w:val="auto"/>
          <w:lang w:val="en-GB"/>
        </w:rPr>
      </w:pPr>
      <w:r w:rsidRPr="00466D0F">
        <w:rPr>
          <w:rStyle w:val="Heading3Char"/>
          <w:rFonts w:ascii="Calibri" w:hAnsi="Calibri" w:cs="Calibri"/>
          <w:color w:val="auto"/>
          <w:lang w:val="en-GB"/>
        </w:rPr>
        <w:t>Safeguarding: 94% average, with 5% reporting compliance below 75%</w:t>
      </w:r>
    </w:p>
    <w:p w:rsidRPr="00466D0F" w:rsidR="00530009" w:rsidP="00F010DE" w:rsidRDefault="00530009" w14:paraId="679E0610" w14:textId="77777777">
      <w:pPr>
        <w:pStyle w:val="ListParagraph"/>
        <w:numPr>
          <w:ilvl w:val="0"/>
          <w:numId w:val="29"/>
        </w:numPr>
        <w:rPr>
          <w:rStyle w:val="Heading3Char"/>
          <w:rFonts w:ascii="Calibri" w:hAnsi="Calibri" w:cs="Calibri"/>
          <w:color w:val="auto"/>
          <w:lang w:val="en-GB"/>
        </w:rPr>
      </w:pPr>
      <w:r w:rsidRPr="00466D0F">
        <w:rPr>
          <w:rStyle w:val="Heading3Char"/>
          <w:rFonts w:ascii="Calibri" w:hAnsi="Calibri" w:cs="Calibri"/>
          <w:color w:val="auto"/>
          <w:lang w:val="en-GB"/>
        </w:rPr>
        <w:t>Medication: 95% average, with 4% reporting compliance below 75%</w:t>
      </w:r>
    </w:p>
    <w:p w:rsidRPr="00466D0F" w:rsidR="00530009" w:rsidP="00F010DE" w:rsidRDefault="00530009" w14:paraId="615BD3B4" w14:textId="77777777">
      <w:pPr>
        <w:rPr>
          <w:rFonts w:cs="Calibri"/>
          <w:kern w:val="2"/>
          <w:lang w:val="en-GB" w:eastAsia="en-GB"/>
          <w14:ligatures w14:val="standardContextual"/>
        </w:rPr>
      </w:pPr>
    </w:p>
    <w:p w:rsidRPr="00466D0F" w:rsidR="67781C0E" w:rsidP="001C7685" w:rsidRDefault="00136B7B" w14:paraId="6818C91C" w14:textId="37AA6041">
      <w:pPr>
        <w:pStyle w:val="Heading1"/>
      </w:pPr>
      <w:bookmarkStart w:name="_Toc231656178" w:id="15"/>
      <w:r w:rsidRPr="00466D0F">
        <w:t xml:space="preserve">Market </w:t>
      </w:r>
      <w:r w:rsidRPr="00466D0F" w:rsidR="71C0398E">
        <w:t>Sufficiency</w:t>
      </w:r>
      <w:bookmarkEnd w:id="15"/>
    </w:p>
    <w:p w:rsidRPr="00466D0F" w:rsidR="002A7A57" w:rsidP="00F010DE" w:rsidRDefault="002A7A57" w14:paraId="7CF3CCEF" w14:textId="77777777">
      <w:pPr>
        <w:rPr>
          <w:rFonts w:cs="Calibri"/>
          <w:lang w:val="en-GB"/>
        </w:rPr>
      </w:pPr>
    </w:p>
    <w:p w:rsidRPr="00466D0F" w:rsidR="003C359C" w:rsidP="001C7685" w:rsidRDefault="003C359C" w14:paraId="6C4631AB" w14:textId="1DC7F41C">
      <w:pPr>
        <w:pStyle w:val="Heading2"/>
      </w:pPr>
      <w:bookmarkStart w:name="_Toc231656179" w:id="16"/>
      <w:r w:rsidRPr="00466D0F">
        <w:t>Definition of Sufficiency</w:t>
      </w:r>
      <w:bookmarkEnd w:id="16"/>
    </w:p>
    <w:p w:rsidRPr="00466D0F" w:rsidR="009709AB" w:rsidP="00F010DE" w:rsidRDefault="2604AFE4" w14:paraId="6A65E11A" w14:textId="77777777">
      <w:pPr>
        <w:rPr>
          <w:rStyle w:val="Heading3Char"/>
          <w:rFonts w:ascii="Calibri" w:hAnsi="Calibri" w:cs="Calibri"/>
          <w:color w:val="auto"/>
          <w:lang w:val="en-GB"/>
        </w:rPr>
      </w:pPr>
      <w:r w:rsidRPr="00466D0F">
        <w:rPr>
          <w:rFonts w:cs="Calibri"/>
          <w:lang w:val="en-GB"/>
        </w:rPr>
        <w:t>Under the Care Act 2014, local authorities have a duty to shape a diverse, sustainable, and high-quality market that meets the needs of all people requiring care and support, including self-funders</w:t>
      </w:r>
      <w:r w:rsidRPr="00466D0F" w:rsidR="00BE1040">
        <w:rPr>
          <w:rStyle w:val="FootnoteReference"/>
          <w:rFonts w:cs="Calibri"/>
          <w:lang w:val="en-GB"/>
        </w:rPr>
        <w:footnoteReference w:id="2"/>
      </w:r>
      <w:r w:rsidRPr="00466D0F">
        <w:rPr>
          <w:rStyle w:val="Heading3Char"/>
          <w:rFonts w:ascii="Calibri" w:hAnsi="Calibri" w:cs="Calibri"/>
          <w:color w:val="auto"/>
          <w:lang w:val="en-GB"/>
        </w:rPr>
        <w:t>.</w:t>
      </w:r>
    </w:p>
    <w:p w:rsidRPr="00466D0F" w:rsidR="0030349C" w:rsidP="00F010DE" w:rsidRDefault="0030349C" w14:paraId="0BF3005D" w14:textId="77777777">
      <w:pPr>
        <w:rPr>
          <w:rStyle w:val="Heading3Char"/>
          <w:rFonts w:ascii="Calibri" w:hAnsi="Calibri" w:cs="Calibri"/>
          <w:color w:val="auto"/>
          <w:lang w:val="en-GB"/>
        </w:rPr>
      </w:pPr>
    </w:p>
    <w:p w:rsidRPr="00466D0F" w:rsidR="002000EE" w:rsidP="00F010DE" w:rsidRDefault="002000EE" w14:paraId="2FEF3D24" w14:textId="77777777">
      <w:pPr>
        <w:rPr>
          <w:rFonts w:cs="Calibri"/>
          <w:kern w:val="2"/>
          <w:lang w:val="en-GB" w:eastAsia="en-GB"/>
          <w14:ligatures w14:val="standardContextual"/>
        </w:rPr>
      </w:pPr>
      <w:r w:rsidRPr="00466D0F">
        <w:rPr>
          <w:rFonts w:cs="Calibri"/>
          <w:lang w:val="en-GB"/>
        </w:rPr>
        <w:t>Sufficiency encompasses:</w:t>
      </w:r>
    </w:p>
    <w:p w:rsidRPr="00466D0F" w:rsidR="002000EE" w:rsidP="00F010DE" w:rsidRDefault="002000EE" w14:paraId="1FB42D4F" w14:textId="77777777">
      <w:pPr>
        <w:pStyle w:val="ListParagraph"/>
        <w:numPr>
          <w:ilvl w:val="0"/>
          <w:numId w:val="9"/>
        </w:numPr>
        <w:rPr>
          <w:rFonts w:cs="Calibri"/>
          <w:kern w:val="2"/>
          <w:lang w:val="en-GB" w:eastAsia="en-GB"/>
          <w14:ligatures w14:val="standardContextual"/>
        </w:rPr>
      </w:pPr>
      <w:r w:rsidRPr="00466D0F">
        <w:rPr>
          <w:rFonts w:cs="Calibri"/>
          <w:lang w:val="en-GB"/>
        </w:rPr>
        <w:t>Adequate volume and capacity</w:t>
      </w:r>
    </w:p>
    <w:p w:rsidRPr="00466D0F" w:rsidR="002000EE" w:rsidP="00F010DE" w:rsidRDefault="002000EE" w14:paraId="5E3B0245" w14:textId="77777777">
      <w:pPr>
        <w:pStyle w:val="ListParagraph"/>
        <w:numPr>
          <w:ilvl w:val="0"/>
          <w:numId w:val="9"/>
        </w:numPr>
        <w:rPr>
          <w:rFonts w:cs="Calibri"/>
          <w:lang w:val="en-GB"/>
        </w:rPr>
      </w:pPr>
      <w:r w:rsidRPr="00466D0F">
        <w:rPr>
          <w:rFonts w:cs="Calibri"/>
          <w:lang w:val="en-GB"/>
        </w:rPr>
        <w:t>Range and diversity of provision</w:t>
      </w:r>
    </w:p>
    <w:p w:rsidRPr="00466D0F" w:rsidR="002000EE" w:rsidP="00F010DE" w:rsidRDefault="002000EE" w14:paraId="18D2F15A" w14:textId="77777777">
      <w:pPr>
        <w:pStyle w:val="ListParagraph"/>
        <w:numPr>
          <w:ilvl w:val="0"/>
          <w:numId w:val="9"/>
        </w:numPr>
        <w:rPr>
          <w:rFonts w:cs="Calibri"/>
          <w:lang w:val="en-GB"/>
        </w:rPr>
      </w:pPr>
      <w:r w:rsidRPr="00466D0F">
        <w:rPr>
          <w:rFonts w:cs="Calibri"/>
          <w:lang w:val="en-GB"/>
        </w:rPr>
        <w:t>Quality and safety</w:t>
      </w:r>
    </w:p>
    <w:p w:rsidRPr="00466D0F" w:rsidR="002000EE" w:rsidP="00F010DE" w:rsidRDefault="002000EE" w14:paraId="6F81CCD4" w14:textId="77777777">
      <w:pPr>
        <w:pStyle w:val="ListParagraph"/>
        <w:numPr>
          <w:ilvl w:val="0"/>
          <w:numId w:val="9"/>
        </w:numPr>
        <w:rPr>
          <w:rFonts w:cs="Calibri"/>
          <w:lang w:val="en-GB"/>
        </w:rPr>
      </w:pPr>
      <w:r w:rsidRPr="00466D0F">
        <w:rPr>
          <w:rFonts w:cs="Calibri"/>
          <w:lang w:val="en-GB"/>
        </w:rPr>
        <w:t>Sustainability and resilience</w:t>
      </w:r>
    </w:p>
    <w:p w:rsidRPr="00466D0F" w:rsidR="002E2917" w:rsidP="00F010DE" w:rsidRDefault="002E2917" w14:paraId="5B68A1F7" w14:textId="77777777">
      <w:pPr>
        <w:rPr>
          <w:rStyle w:val="Heading3Char"/>
          <w:rFonts w:ascii="Calibri" w:hAnsi="Calibri" w:cs="Calibri"/>
          <w:color w:val="auto"/>
          <w:lang w:val="en-GB"/>
        </w:rPr>
      </w:pPr>
    </w:p>
    <w:p w:rsidRPr="00466D0F" w:rsidR="002000EE" w:rsidP="00F010DE" w:rsidRDefault="002000EE" w14:paraId="70B3332C" w14:textId="77777777">
      <w:pPr>
        <w:rPr>
          <w:rFonts w:cs="Calibri"/>
          <w:kern w:val="2"/>
          <w:lang w:val="en-GB" w:eastAsia="en-GB"/>
          <w14:ligatures w14:val="standardContextual"/>
        </w:rPr>
      </w:pPr>
      <w:r w:rsidRPr="00466D0F">
        <w:rPr>
          <w:rFonts w:cs="Calibri"/>
          <w:lang w:val="en-GB"/>
        </w:rPr>
        <w:t>The Gloucestershire ASC Target Operating Model (TOM) reflects national policy direction, with increasing emphasis on:</w:t>
      </w:r>
    </w:p>
    <w:p w:rsidRPr="00466D0F" w:rsidR="002000EE" w:rsidP="00F010DE" w:rsidRDefault="002000EE" w14:paraId="302A5E8A" w14:textId="77777777">
      <w:pPr>
        <w:pStyle w:val="ListParagraph"/>
        <w:numPr>
          <w:ilvl w:val="0"/>
          <w:numId w:val="10"/>
        </w:numPr>
        <w:rPr>
          <w:rFonts w:cs="Calibri"/>
          <w:kern w:val="2"/>
          <w:lang w:val="en-GB" w:eastAsia="en-GB"/>
          <w14:ligatures w14:val="standardContextual"/>
        </w:rPr>
      </w:pPr>
      <w:r w:rsidRPr="00466D0F">
        <w:rPr>
          <w:rFonts w:cs="Calibri"/>
          <w:lang w:val="en-GB"/>
        </w:rPr>
        <w:t>Prevention and early intervention</w:t>
      </w:r>
    </w:p>
    <w:p w:rsidRPr="00466D0F" w:rsidR="002000EE" w:rsidP="00F010DE" w:rsidRDefault="002000EE" w14:paraId="64799A7D" w14:textId="77777777">
      <w:pPr>
        <w:pStyle w:val="ListParagraph"/>
        <w:numPr>
          <w:ilvl w:val="0"/>
          <w:numId w:val="10"/>
        </w:numPr>
        <w:rPr>
          <w:rFonts w:cs="Calibri"/>
          <w:lang w:val="en-GB"/>
        </w:rPr>
      </w:pPr>
      <w:r w:rsidRPr="00466D0F">
        <w:rPr>
          <w:rFonts w:cs="Calibri"/>
          <w:lang w:val="en-GB"/>
        </w:rPr>
        <w:t>Supporting independence at home</w:t>
      </w:r>
    </w:p>
    <w:p w:rsidRPr="00466D0F" w:rsidR="002000EE" w:rsidP="00F010DE" w:rsidRDefault="002000EE" w14:paraId="28289CC1" w14:textId="77777777">
      <w:pPr>
        <w:pStyle w:val="ListParagraph"/>
        <w:numPr>
          <w:ilvl w:val="0"/>
          <w:numId w:val="10"/>
        </w:numPr>
        <w:rPr>
          <w:rFonts w:cs="Calibri"/>
          <w:lang w:val="en-GB"/>
        </w:rPr>
      </w:pPr>
      <w:r w:rsidRPr="00466D0F">
        <w:rPr>
          <w:rFonts w:cs="Calibri"/>
          <w:lang w:val="en-GB"/>
        </w:rPr>
        <w:t>Reducing reliance on long-term residential care</w:t>
      </w:r>
    </w:p>
    <w:p w:rsidRPr="00466D0F" w:rsidR="00FD599F" w:rsidP="00F010DE" w:rsidRDefault="00FD599F" w14:paraId="6E54B5F4" w14:textId="77777777">
      <w:pPr>
        <w:rPr>
          <w:rStyle w:val="Heading3Char"/>
          <w:rFonts w:ascii="Calibri" w:hAnsi="Calibri" w:cs="Calibri"/>
          <w:color w:val="auto"/>
          <w:lang w:val="en-GB"/>
        </w:rPr>
      </w:pPr>
    </w:p>
    <w:p w:rsidRPr="00466D0F" w:rsidR="002E2917" w:rsidP="00F010DE" w:rsidRDefault="002E2917" w14:paraId="770B68DF" w14:textId="4760F99C">
      <w:pPr>
        <w:rPr>
          <w:rStyle w:val="Heading3Char"/>
          <w:rFonts w:ascii="Calibri" w:hAnsi="Calibri" w:cs="Calibri"/>
          <w:color w:val="auto"/>
          <w:lang w:val="en-GB"/>
        </w:rPr>
      </w:pPr>
      <w:r w:rsidRPr="00466D0F">
        <w:rPr>
          <w:rStyle w:val="Heading3Char"/>
          <w:rFonts w:ascii="Calibri" w:hAnsi="Calibri" w:cs="Calibri"/>
          <w:color w:val="auto"/>
          <w:lang w:val="en-GB"/>
        </w:rPr>
        <w:t>However, demand for residential/nursing care and domiciliary care continues to rise alongside the ageing population and increasing complexity of need.</w:t>
      </w:r>
    </w:p>
    <w:p w:rsidRPr="00466D0F" w:rsidR="002E2917" w:rsidP="00F010DE" w:rsidRDefault="002E2917" w14:paraId="23BCA90C" w14:textId="77777777">
      <w:pPr>
        <w:rPr>
          <w:rStyle w:val="Heading3Char"/>
          <w:rFonts w:ascii="Calibri" w:hAnsi="Calibri" w:cs="Calibri"/>
          <w:color w:val="auto"/>
          <w:lang w:val="en-GB"/>
        </w:rPr>
      </w:pPr>
    </w:p>
    <w:p w:rsidRPr="00466D0F" w:rsidR="002A7A57" w:rsidP="001C7685" w:rsidRDefault="002A7A57" w14:paraId="66D9AB40" w14:textId="77777777">
      <w:pPr>
        <w:pStyle w:val="Heading2"/>
      </w:pPr>
      <w:bookmarkStart w:name="_Toc231656180" w:id="17"/>
      <w:r w:rsidRPr="00466D0F">
        <w:t>Sufficiency Strengths</w:t>
      </w:r>
      <w:bookmarkEnd w:id="17"/>
    </w:p>
    <w:p w:rsidRPr="00466D0F" w:rsidR="004C70E9" w:rsidP="00F010DE" w:rsidRDefault="002A7A57" w14:paraId="57809F50" w14:textId="44077855">
      <w:pPr>
        <w:rPr>
          <w:rStyle w:val="Heading3Char"/>
          <w:rFonts w:ascii="Calibri" w:hAnsi="Calibri" w:cs="Calibri"/>
          <w:color w:val="auto"/>
          <w:lang w:val="en-GB"/>
        </w:rPr>
      </w:pPr>
      <w:r w:rsidRPr="00466D0F">
        <w:rPr>
          <w:rStyle w:val="Heading3Char"/>
          <w:rFonts w:ascii="Calibri" w:hAnsi="Calibri" w:cs="Calibri"/>
          <w:color w:val="auto"/>
          <w:lang w:val="en-GB"/>
        </w:rPr>
        <w:t xml:space="preserve">Gloucestershire has a </w:t>
      </w:r>
      <w:r w:rsidRPr="00466D0F" w:rsidR="00B530C3">
        <w:rPr>
          <w:rStyle w:val="Heading3Char"/>
          <w:rFonts w:ascii="Calibri" w:hAnsi="Calibri" w:cs="Calibri"/>
          <w:color w:val="auto"/>
          <w:lang w:val="en-GB"/>
        </w:rPr>
        <w:t>large,</w:t>
      </w:r>
      <w:r w:rsidRPr="00466D0F">
        <w:rPr>
          <w:rStyle w:val="Heading3Char"/>
          <w:rFonts w:ascii="Calibri" w:hAnsi="Calibri" w:cs="Calibri"/>
          <w:color w:val="auto"/>
          <w:lang w:val="en-GB"/>
        </w:rPr>
        <w:t xml:space="preserve"> established </w:t>
      </w:r>
      <w:r w:rsidRPr="00466D0F" w:rsidR="00B530C3">
        <w:rPr>
          <w:rStyle w:val="Heading3Char"/>
          <w:rFonts w:ascii="Calibri" w:hAnsi="Calibri" w:cs="Calibri"/>
          <w:color w:val="auto"/>
          <w:lang w:val="en-GB"/>
        </w:rPr>
        <w:t xml:space="preserve">and diverse </w:t>
      </w:r>
      <w:r w:rsidRPr="00466D0F">
        <w:rPr>
          <w:rStyle w:val="Heading3Char"/>
          <w:rFonts w:ascii="Calibri" w:hAnsi="Calibri" w:cs="Calibri"/>
          <w:color w:val="auto"/>
          <w:lang w:val="en-GB"/>
        </w:rPr>
        <w:t>provider base with a mix of residential, nursing, and domiciliary provision</w:t>
      </w:r>
      <w:r w:rsidRPr="00466D0F" w:rsidR="006A423E">
        <w:rPr>
          <w:rStyle w:val="Heading3Char"/>
          <w:rFonts w:ascii="Calibri" w:hAnsi="Calibri" w:cs="Calibri"/>
          <w:color w:val="auto"/>
          <w:lang w:val="en-GB"/>
        </w:rPr>
        <w:t xml:space="preserve">, </w:t>
      </w:r>
      <w:r w:rsidRPr="00466D0F" w:rsidR="003524B7">
        <w:rPr>
          <w:rStyle w:val="Heading3Char"/>
          <w:rFonts w:ascii="Calibri" w:hAnsi="Calibri" w:cs="Calibri"/>
          <w:color w:val="auto"/>
          <w:lang w:val="en-GB"/>
        </w:rPr>
        <w:t>representing</w:t>
      </w:r>
      <w:r w:rsidRPr="00466D0F" w:rsidR="006A423E">
        <w:rPr>
          <w:rStyle w:val="Heading3Char"/>
          <w:rFonts w:ascii="Calibri" w:hAnsi="Calibri" w:cs="Calibri"/>
          <w:color w:val="auto"/>
          <w:lang w:val="en-GB"/>
        </w:rPr>
        <w:t xml:space="preserve"> </w:t>
      </w:r>
      <w:r w:rsidRPr="00466D0F" w:rsidR="004C70E9">
        <w:rPr>
          <w:rStyle w:val="Heading3Char"/>
          <w:rFonts w:ascii="Calibri" w:hAnsi="Calibri" w:cs="Calibri"/>
          <w:color w:val="auto"/>
          <w:lang w:val="en-GB"/>
        </w:rPr>
        <w:t>a breadth of supply across the County.</w:t>
      </w:r>
    </w:p>
    <w:p w:rsidRPr="00466D0F" w:rsidR="00F010DE" w:rsidP="00F010DE" w:rsidRDefault="00F010DE" w14:paraId="478D2E40" w14:textId="77777777">
      <w:pPr>
        <w:rPr>
          <w:rStyle w:val="Heading3Char"/>
          <w:rFonts w:ascii="Calibri" w:hAnsi="Calibri" w:cs="Calibri"/>
          <w:color w:val="auto"/>
          <w:lang w:val="en-GB"/>
        </w:rPr>
      </w:pPr>
    </w:p>
    <w:p w:rsidRPr="00466D0F" w:rsidR="007D59E7" w:rsidRDefault="007D59E7" w14:paraId="6AF68DDC" w14:textId="77777777">
      <w:pPr>
        <w:rPr>
          <w:kern w:val="2"/>
          <w:lang w:val="en-GB" w:eastAsia="en-GB"/>
          <w14:ligatures w14:val="standardContextual"/>
        </w:rPr>
      </w:pPr>
      <w:r w:rsidRPr="00466D0F">
        <w:rPr>
          <w:rStyle w:val="Heading3Char"/>
          <w:rFonts w:ascii="Calibri" w:hAnsi="Calibri"/>
          <w:color w:val="auto"/>
          <w:lang w:val="en-GB"/>
        </w:rPr>
        <w:t>A high proportion of services are rated Good or Outstanding by CQC, particularly within the bed-based sector, indicating stronger quality performance in areas where acuity and demand are increasing most quickly.</w:t>
      </w:r>
    </w:p>
    <w:p w:rsidRPr="00466D0F" w:rsidR="00F010DE" w:rsidP="00F010DE" w:rsidRDefault="00F010DE" w14:paraId="7F512B9B" w14:textId="77777777">
      <w:pPr>
        <w:rPr>
          <w:rStyle w:val="Heading3Char"/>
          <w:rFonts w:ascii="Calibri" w:hAnsi="Calibri" w:cs="Calibri"/>
          <w:color w:val="auto"/>
          <w:lang w:val="en-GB"/>
        </w:rPr>
      </w:pPr>
    </w:p>
    <w:p w:rsidRPr="00466D0F" w:rsidR="0092681C" w:rsidP="00F010DE" w:rsidRDefault="0092681C" w14:paraId="3D1094F3" w14:textId="0C8F0013">
      <w:pPr>
        <w:rPr>
          <w:rStyle w:val="Heading3Char"/>
          <w:rFonts w:ascii="Calibri" w:hAnsi="Calibri" w:cs="Calibri"/>
          <w:color w:val="auto"/>
          <w:lang w:val="en-GB"/>
        </w:rPr>
      </w:pPr>
      <w:r w:rsidRPr="00466D0F">
        <w:rPr>
          <w:rStyle w:val="Heading3Char"/>
          <w:rFonts w:ascii="Calibri" w:hAnsi="Calibri" w:cs="Calibri"/>
          <w:color w:val="auto"/>
          <w:lang w:val="en-GB"/>
        </w:rPr>
        <w:t xml:space="preserve">The market is predominantly </w:t>
      </w:r>
      <w:r w:rsidRPr="00466D0F" w:rsidR="0027322D">
        <w:rPr>
          <w:rStyle w:val="Heading3Char"/>
          <w:rFonts w:ascii="Calibri" w:hAnsi="Calibri" w:cs="Calibri"/>
          <w:color w:val="auto"/>
          <w:lang w:val="en-GB"/>
        </w:rPr>
        <w:t>operated by private sector organisations</w:t>
      </w:r>
      <w:r w:rsidRPr="00466D0F" w:rsidR="005F623A">
        <w:rPr>
          <w:rStyle w:val="Heading3Char"/>
          <w:rFonts w:ascii="Calibri" w:hAnsi="Calibri" w:cs="Calibri"/>
          <w:color w:val="auto"/>
          <w:lang w:val="en-GB"/>
        </w:rPr>
        <w:t>, with no single provider accounting for more than 5% of the market share</w:t>
      </w:r>
      <w:r w:rsidRPr="00466D0F" w:rsidR="00F3058B">
        <w:rPr>
          <w:rStyle w:val="Heading3Char"/>
          <w:rFonts w:ascii="Calibri" w:hAnsi="Calibri" w:cs="Calibri"/>
          <w:color w:val="auto"/>
          <w:lang w:val="en-GB"/>
        </w:rPr>
        <w:t>. This delivers a low concentration risk</w:t>
      </w:r>
      <w:r w:rsidRPr="00466D0F" w:rsidR="007070CD">
        <w:rPr>
          <w:rStyle w:val="Heading3Char"/>
          <w:rFonts w:ascii="Calibri" w:hAnsi="Calibri" w:cs="Calibri"/>
          <w:color w:val="auto"/>
          <w:lang w:val="en-GB"/>
        </w:rPr>
        <w:t xml:space="preserve">, improves resilience against provider failure and supports a mixed economy offering </w:t>
      </w:r>
      <w:r w:rsidRPr="00466D0F" w:rsidR="00F03D40">
        <w:rPr>
          <w:rStyle w:val="Heading3Char"/>
          <w:rFonts w:ascii="Calibri" w:hAnsi="Calibri" w:cs="Calibri"/>
          <w:color w:val="auto"/>
          <w:lang w:val="en-GB"/>
        </w:rPr>
        <w:t>choice</w:t>
      </w:r>
      <w:r w:rsidRPr="00466D0F" w:rsidR="00A31A31">
        <w:rPr>
          <w:rStyle w:val="Heading3Char"/>
          <w:rFonts w:ascii="Calibri" w:hAnsi="Calibri" w:cs="Calibri"/>
          <w:color w:val="auto"/>
          <w:lang w:val="en-GB"/>
        </w:rPr>
        <w:t xml:space="preserve"> to residents</w:t>
      </w:r>
      <w:r w:rsidRPr="00466D0F" w:rsidR="00F03D40">
        <w:rPr>
          <w:rStyle w:val="Heading3Char"/>
          <w:rFonts w:ascii="Calibri" w:hAnsi="Calibri" w:cs="Calibri"/>
          <w:color w:val="auto"/>
          <w:lang w:val="en-GB"/>
        </w:rPr>
        <w:t>.</w:t>
      </w:r>
    </w:p>
    <w:p w:rsidRPr="00466D0F" w:rsidR="00A31A31" w:rsidP="00F010DE" w:rsidRDefault="002A7A57" w14:paraId="2C6BC6F3" w14:textId="1F0432B9">
      <w:pPr>
        <w:rPr>
          <w:rStyle w:val="Heading3Char"/>
          <w:rFonts w:ascii="Calibri" w:hAnsi="Calibri" w:cs="Calibri"/>
          <w:color w:val="auto"/>
          <w:lang w:val="en-GB"/>
        </w:rPr>
      </w:pPr>
      <w:r w:rsidRPr="00466D0F">
        <w:rPr>
          <w:rStyle w:val="Heading3Char"/>
          <w:rFonts w:ascii="Calibri" w:hAnsi="Calibri" w:cs="Calibri"/>
          <w:color w:val="auto"/>
          <w:lang w:val="en-GB"/>
        </w:rPr>
        <w:t xml:space="preserve">There is emerging evidence of </w:t>
      </w:r>
      <w:r w:rsidRPr="00466D0F" w:rsidR="007A71A8">
        <w:rPr>
          <w:rStyle w:val="Heading3Char"/>
          <w:rFonts w:ascii="Calibri" w:hAnsi="Calibri" w:cs="Calibri"/>
          <w:color w:val="auto"/>
          <w:lang w:val="en-GB"/>
        </w:rPr>
        <w:t xml:space="preserve">workforce </w:t>
      </w:r>
      <w:r w:rsidRPr="00466D0F" w:rsidR="00E61143">
        <w:rPr>
          <w:rStyle w:val="Heading3Char"/>
          <w:rFonts w:ascii="Calibri" w:hAnsi="Calibri" w:cs="Calibri"/>
          <w:color w:val="auto"/>
          <w:lang w:val="en-GB"/>
        </w:rPr>
        <w:t>stabilisation</w:t>
      </w:r>
      <w:r w:rsidRPr="00466D0F" w:rsidR="0007501F">
        <w:rPr>
          <w:rStyle w:val="Heading3Char"/>
          <w:rFonts w:ascii="Calibri" w:hAnsi="Calibri" w:cs="Calibri"/>
          <w:color w:val="auto"/>
          <w:lang w:val="en-GB"/>
        </w:rPr>
        <w:t>,</w:t>
      </w:r>
      <w:r w:rsidRPr="00466D0F" w:rsidR="00E61143">
        <w:rPr>
          <w:rStyle w:val="Heading3Char"/>
          <w:rFonts w:ascii="Calibri" w:hAnsi="Calibri" w:cs="Calibri"/>
          <w:color w:val="auto"/>
          <w:lang w:val="en-GB"/>
        </w:rPr>
        <w:t xml:space="preserve"> with </w:t>
      </w:r>
      <w:r w:rsidRPr="00466D0F">
        <w:rPr>
          <w:rStyle w:val="Heading3Char"/>
          <w:rFonts w:ascii="Calibri" w:hAnsi="Calibri" w:cs="Calibri"/>
          <w:color w:val="auto"/>
          <w:lang w:val="en-GB"/>
        </w:rPr>
        <w:t>improving workforce vacanc</w:t>
      </w:r>
      <w:r w:rsidRPr="00466D0F" w:rsidR="00E61143">
        <w:rPr>
          <w:rStyle w:val="Heading3Char"/>
          <w:rFonts w:ascii="Calibri" w:hAnsi="Calibri" w:cs="Calibri"/>
          <w:color w:val="auto"/>
          <w:lang w:val="en-GB"/>
        </w:rPr>
        <w:t>y and turnover rates</w:t>
      </w:r>
      <w:r w:rsidRPr="00466D0F">
        <w:rPr>
          <w:rStyle w:val="Heading3Char"/>
          <w:rFonts w:ascii="Calibri" w:hAnsi="Calibri" w:cs="Calibri"/>
          <w:color w:val="auto"/>
          <w:lang w:val="en-GB"/>
        </w:rPr>
        <w:t xml:space="preserve"> supporting short-term stability.</w:t>
      </w:r>
      <w:r w:rsidRPr="00466D0F" w:rsidR="0030349C">
        <w:rPr>
          <w:rStyle w:val="Heading3Char"/>
          <w:rFonts w:ascii="Calibri" w:hAnsi="Calibri" w:cs="Calibri"/>
          <w:color w:val="auto"/>
          <w:lang w:val="en-GB"/>
        </w:rPr>
        <w:t xml:space="preserve"> </w:t>
      </w:r>
    </w:p>
    <w:p w:rsidRPr="00466D0F" w:rsidR="00F010DE" w:rsidP="00F010DE" w:rsidRDefault="00F010DE" w14:paraId="4ECFBA3D" w14:textId="77777777">
      <w:pPr>
        <w:rPr>
          <w:rStyle w:val="Heading3Char"/>
          <w:rFonts w:ascii="Calibri" w:hAnsi="Calibri" w:cs="Calibri"/>
          <w:color w:val="auto"/>
          <w:lang w:val="en-GB"/>
        </w:rPr>
      </w:pPr>
    </w:p>
    <w:p w:rsidRPr="00466D0F" w:rsidR="002A7A57" w:rsidP="00F010DE" w:rsidRDefault="00DF1B34" w14:paraId="65857D9B" w14:textId="13F217B4">
      <w:pPr>
        <w:rPr>
          <w:rStyle w:val="Heading3Char"/>
          <w:rFonts w:ascii="Calibri" w:hAnsi="Calibri" w:cs="Calibri"/>
          <w:color w:val="auto"/>
          <w:lang w:val="en-GB"/>
        </w:rPr>
      </w:pPr>
      <w:r w:rsidRPr="00466D0F">
        <w:rPr>
          <w:rStyle w:val="Heading3Char"/>
          <w:rFonts w:ascii="Calibri" w:hAnsi="Calibri" w:cs="Calibri"/>
          <w:color w:val="auto"/>
          <w:lang w:val="en-GB"/>
        </w:rPr>
        <w:t>Improved market intelligence and</w:t>
      </w:r>
      <w:r w:rsidRPr="00466D0F" w:rsidR="002A7A57">
        <w:rPr>
          <w:rStyle w:val="Heading3Char"/>
          <w:rFonts w:ascii="Calibri" w:hAnsi="Calibri" w:cs="Calibri"/>
          <w:color w:val="auto"/>
          <w:lang w:val="en-GB"/>
        </w:rPr>
        <w:t xml:space="preserve"> grip</w:t>
      </w:r>
      <w:r w:rsidRPr="00466D0F">
        <w:rPr>
          <w:rStyle w:val="Heading3Char"/>
          <w:rFonts w:ascii="Calibri" w:hAnsi="Calibri" w:cs="Calibri"/>
          <w:color w:val="auto"/>
          <w:lang w:val="en-GB"/>
        </w:rPr>
        <w:t xml:space="preserve"> is </w:t>
      </w:r>
      <w:r w:rsidRPr="00466D0F" w:rsidR="00C96CF1">
        <w:rPr>
          <w:rStyle w:val="Heading3Char"/>
          <w:rFonts w:ascii="Calibri" w:hAnsi="Calibri" w:cs="Calibri"/>
          <w:color w:val="auto"/>
          <w:lang w:val="en-GB"/>
        </w:rPr>
        <w:t xml:space="preserve">supported by a </w:t>
      </w:r>
      <w:r w:rsidRPr="00466D0F" w:rsidR="007A1346">
        <w:rPr>
          <w:rStyle w:val="Heading3Char"/>
          <w:rFonts w:ascii="Calibri" w:hAnsi="Calibri" w:cs="Calibri"/>
          <w:color w:val="auto"/>
          <w:lang w:val="en-GB"/>
        </w:rPr>
        <w:t>robust market position statement</w:t>
      </w:r>
      <w:r w:rsidRPr="00466D0F" w:rsidR="002A7A57">
        <w:rPr>
          <w:rStyle w:val="Heading3Char"/>
          <w:rFonts w:ascii="Calibri" w:hAnsi="Calibri" w:cs="Calibri"/>
          <w:color w:val="auto"/>
          <w:lang w:val="en-GB"/>
        </w:rPr>
        <w:t xml:space="preserve"> with clear commissioning intentions</w:t>
      </w:r>
      <w:r w:rsidRPr="00466D0F" w:rsidR="007A1346">
        <w:rPr>
          <w:rStyle w:val="Heading3Char"/>
          <w:rFonts w:ascii="Calibri" w:hAnsi="Calibri" w:cs="Calibri"/>
          <w:color w:val="auto"/>
          <w:lang w:val="en-GB"/>
        </w:rPr>
        <w:t xml:space="preserve">, </w:t>
      </w:r>
      <w:r w:rsidRPr="00466D0F" w:rsidR="00185A0F">
        <w:rPr>
          <w:rStyle w:val="Heading3Char"/>
          <w:rFonts w:ascii="Calibri" w:hAnsi="Calibri" w:cs="Calibri"/>
          <w:color w:val="auto"/>
          <w:lang w:val="en-GB"/>
        </w:rPr>
        <w:t xml:space="preserve">a further </w:t>
      </w:r>
      <w:r w:rsidRPr="00466D0F" w:rsidR="0045216A">
        <w:rPr>
          <w:rStyle w:val="Heading3Char"/>
          <w:rFonts w:ascii="Calibri" w:hAnsi="Calibri" w:cs="Calibri"/>
          <w:color w:val="auto"/>
          <w:lang w:val="en-GB"/>
        </w:rPr>
        <w:t xml:space="preserve">developed </w:t>
      </w:r>
      <w:r w:rsidRPr="00466D0F" w:rsidR="00D66140">
        <w:rPr>
          <w:rStyle w:val="Heading3Char"/>
          <w:rFonts w:ascii="Calibri" w:hAnsi="Calibri" w:cs="Calibri"/>
          <w:color w:val="auto"/>
          <w:lang w:val="en-GB"/>
        </w:rPr>
        <w:t>provider quality assessment</w:t>
      </w:r>
      <w:r w:rsidRPr="00466D0F" w:rsidR="00185A0F">
        <w:rPr>
          <w:rStyle w:val="Heading3Char"/>
          <w:rFonts w:ascii="Calibri" w:hAnsi="Calibri" w:cs="Calibri"/>
          <w:color w:val="auto"/>
          <w:lang w:val="en-GB"/>
        </w:rPr>
        <w:t xml:space="preserve"> framework</w:t>
      </w:r>
      <w:r w:rsidRPr="00466D0F" w:rsidR="00D66140">
        <w:rPr>
          <w:rStyle w:val="Heading3Char"/>
          <w:rFonts w:ascii="Calibri" w:hAnsi="Calibri" w:cs="Calibri"/>
          <w:color w:val="auto"/>
          <w:lang w:val="en-GB"/>
        </w:rPr>
        <w:t xml:space="preserve"> and the integration of quality assurance and contractual functions.</w:t>
      </w:r>
    </w:p>
    <w:p w:rsidRPr="00466D0F" w:rsidR="009709AB" w:rsidP="00F010DE" w:rsidRDefault="009709AB" w14:paraId="51C32053" w14:textId="17ADEB48">
      <w:pPr>
        <w:rPr>
          <w:rFonts w:cs="Calibri"/>
          <w:lang w:val="en-GB"/>
        </w:rPr>
      </w:pPr>
    </w:p>
    <w:p w:rsidRPr="00466D0F" w:rsidR="00854C26" w:rsidP="00F010DE" w:rsidRDefault="00854C26" w14:paraId="2C20EDBE" w14:textId="77777777">
      <w:pPr>
        <w:rPr>
          <w:rFonts w:cs="Calibri"/>
          <w:lang w:val="en-GB"/>
        </w:rPr>
      </w:pPr>
    </w:p>
    <w:p w:rsidRPr="00466D0F" w:rsidR="00CF272F" w:rsidRDefault="00CF272F" w14:paraId="59ED973A" w14:textId="77777777">
      <w:pPr>
        <w:rPr>
          <w:kern w:val="2"/>
          <w:lang w:val="en-GB" w:eastAsia="en-GB"/>
          <w14:ligatures w14:val="standardContextual"/>
        </w:rPr>
      </w:pPr>
      <w:r w:rsidRPr="00466D0F">
        <w:rPr>
          <w:lang w:val="en-GB"/>
        </w:rPr>
        <w:t>The use of block contract arrangements across a range of service types, including domiciliary care, extra care and bed-based care, supports greater workforce stability and sustainability. This is particularly evident within domiciliary care, where block contracts enable carers to be paid for their full working time rather than unstable hours. This approach not only improves financial security for staff but also enhances the attractiveness of the sector and supports clearer career progression pathways.</w:t>
      </w:r>
    </w:p>
    <w:p w:rsidRPr="00466D0F" w:rsidR="00A66E07" w:rsidP="00F010DE" w:rsidRDefault="00A66E07" w14:paraId="19E7B6FD" w14:textId="77777777">
      <w:pPr>
        <w:rPr>
          <w:rFonts w:cs="Calibri"/>
          <w:lang w:val="en-GB"/>
        </w:rPr>
      </w:pPr>
    </w:p>
    <w:p w:rsidRPr="00466D0F" w:rsidR="00327C25" w:rsidP="001C7685" w:rsidRDefault="00327C25" w14:paraId="526AA6EB" w14:textId="484964AC">
      <w:pPr>
        <w:pStyle w:val="Heading2"/>
      </w:pPr>
      <w:bookmarkStart w:name="_Toc231656181" w:id="18"/>
      <w:r w:rsidRPr="00466D0F">
        <w:t>Sufficiency Pressures and Risks</w:t>
      </w:r>
      <w:bookmarkEnd w:id="18"/>
    </w:p>
    <w:p w:rsidRPr="00466D0F" w:rsidR="007D59E7" w:rsidRDefault="007D59E7" w14:paraId="7DF4FA2E" w14:textId="77777777">
      <w:pPr>
        <w:rPr>
          <w:kern w:val="2"/>
          <w:lang w:val="en-GB" w:eastAsia="en-GB"/>
          <w14:ligatures w14:val="standardContextual"/>
        </w:rPr>
      </w:pPr>
      <w:r w:rsidRPr="00466D0F">
        <w:rPr>
          <w:rStyle w:val="Heading3Char"/>
          <w:rFonts w:ascii="Calibri" w:hAnsi="Calibri"/>
          <w:color w:val="auto"/>
          <w:lang w:val="en-GB"/>
        </w:rPr>
        <w:t>Rapid growth in the older population is likely to outstrip current capacity, particularly in complex care, dementia services and nursing care. Increasing acuity of need is driving demand for specialist placements, where supply is more constrained. Workforce pressures continue to create fragility in both domiciliary and residential services, with rural areas facing additional barriers linked to travel inefficiencies and limited labour supply. These pressures affect Gloucestershire’s ability to deliver prevention and independence-focused models at scale.</w:t>
      </w:r>
    </w:p>
    <w:p w:rsidRPr="00466D0F" w:rsidR="005656C1" w:rsidP="00F010DE" w:rsidRDefault="005656C1" w14:paraId="0D28EE54" w14:textId="77777777">
      <w:pPr>
        <w:rPr>
          <w:rStyle w:val="Heading3Char"/>
          <w:rFonts w:ascii="Calibri" w:hAnsi="Calibri" w:cs="Calibri"/>
          <w:color w:val="auto"/>
          <w:lang w:val="en-GB"/>
        </w:rPr>
      </w:pPr>
    </w:p>
    <w:p w:rsidRPr="00466D0F" w:rsidR="002000EE" w:rsidP="00F010DE" w:rsidRDefault="002000EE" w14:paraId="3AD82E9D" w14:textId="77777777">
      <w:pPr>
        <w:rPr>
          <w:rFonts w:cs="Calibri"/>
          <w:kern w:val="2"/>
          <w:lang w:val="en-GB" w:eastAsia="en-GB"/>
          <w14:ligatures w14:val="standardContextual"/>
        </w:rPr>
      </w:pPr>
      <w:r w:rsidRPr="00466D0F">
        <w:rPr>
          <w:rFonts w:cs="Calibri"/>
          <w:lang w:val="en-GB"/>
        </w:rPr>
        <w:t>Heavy reliance on the independent sector, representing over 90% of provision, creates exposure to:</w:t>
      </w:r>
    </w:p>
    <w:p w:rsidRPr="00466D0F" w:rsidR="002000EE" w:rsidP="00F010DE" w:rsidRDefault="002000EE" w14:paraId="3C9199C3" w14:textId="77777777">
      <w:pPr>
        <w:pStyle w:val="ListParagraph"/>
        <w:numPr>
          <w:ilvl w:val="0"/>
          <w:numId w:val="11"/>
        </w:numPr>
        <w:rPr>
          <w:rFonts w:cs="Calibri"/>
          <w:kern w:val="2"/>
          <w:lang w:val="en-GB" w:eastAsia="en-GB"/>
          <w14:ligatures w14:val="standardContextual"/>
        </w:rPr>
      </w:pPr>
      <w:r w:rsidRPr="00466D0F">
        <w:rPr>
          <w:rFonts w:cs="Calibri"/>
          <w:lang w:val="en-GB"/>
        </w:rPr>
        <w:t>Provider financial instability</w:t>
      </w:r>
    </w:p>
    <w:p w:rsidRPr="00466D0F" w:rsidR="002000EE" w:rsidP="00F010DE" w:rsidRDefault="002000EE" w14:paraId="38C4983F" w14:textId="77777777">
      <w:pPr>
        <w:pStyle w:val="ListParagraph"/>
        <w:numPr>
          <w:ilvl w:val="0"/>
          <w:numId w:val="11"/>
        </w:numPr>
        <w:rPr>
          <w:rFonts w:cs="Calibri"/>
          <w:lang w:val="en-GB"/>
        </w:rPr>
      </w:pPr>
      <w:r w:rsidRPr="00466D0F">
        <w:rPr>
          <w:rFonts w:cs="Calibri"/>
          <w:lang w:val="en-GB"/>
        </w:rPr>
        <w:t>Fee pressures and inflationary costs</w:t>
      </w:r>
    </w:p>
    <w:p w:rsidRPr="00466D0F" w:rsidR="002000EE" w:rsidP="00F010DE" w:rsidRDefault="002000EE" w14:paraId="69116A86" w14:textId="77777777">
      <w:pPr>
        <w:pStyle w:val="ListParagraph"/>
        <w:numPr>
          <w:ilvl w:val="0"/>
          <w:numId w:val="11"/>
        </w:numPr>
        <w:rPr>
          <w:rFonts w:cs="Calibri"/>
          <w:lang w:val="en-GB"/>
        </w:rPr>
      </w:pPr>
      <w:r w:rsidRPr="00466D0F">
        <w:rPr>
          <w:rFonts w:cs="Calibri"/>
          <w:lang w:val="en-GB"/>
        </w:rPr>
        <w:t>A significant self-funder market that may distort pricing and availability, potentially reducing access for publicly funded individuals</w:t>
      </w:r>
    </w:p>
    <w:p w:rsidRPr="00466D0F" w:rsidR="005656C1" w:rsidP="00F010DE" w:rsidRDefault="005656C1" w14:paraId="3AA3E1FE" w14:textId="77777777">
      <w:pPr>
        <w:rPr>
          <w:rStyle w:val="Heading3Char"/>
          <w:rFonts w:ascii="Calibri" w:hAnsi="Calibri" w:cs="Calibri"/>
          <w:color w:val="auto"/>
          <w:lang w:val="en-GB"/>
        </w:rPr>
      </w:pPr>
    </w:p>
    <w:p w:rsidRPr="00466D0F" w:rsidR="002000EE" w:rsidP="00F010DE" w:rsidRDefault="002000EE" w14:paraId="6BD903B3" w14:textId="77777777">
      <w:pPr>
        <w:rPr>
          <w:kern w:val="2"/>
          <w:lang w:val="en-GB" w:eastAsia="en-GB"/>
          <w14:ligatures w14:val="standardContextual"/>
        </w:rPr>
      </w:pPr>
      <w:r w:rsidRPr="00466D0F">
        <w:rPr>
          <w:lang w:val="en-GB"/>
        </w:rPr>
        <w:t>While overall quality is good, the presence of providers rated Requires Improvement indicates:</w:t>
      </w:r>
    </w:p>
    <w:p w:rsidRPr="00466D0F" w:rsidR="002000EE" w:rsidP="00F010DE" w:rsidRDefault="002000EE" w14:paraId="2D7B3E53" w14:textId="77777777">
      <w:pPr>
        <w:pStyle w:val="ListParagraph"/>
        <w:numPr>
          <w:ilvl w:val="0"/>
          <w:numId w:val="11"/>
        </w:numPr>
        <w:rPr>
          <w:rFonts w:cs="Calibri"/>
          <w:lang w:val="en-GB"/>
        </w:rPr>
      </w:pPr>
      <w:r w:rsidRPr="00466D0F">
        <w:rPr>
          <w:rFonts w:cs="Calibri"/>
          <w:lang w:val="en-GB"/>
        </w:rPr>
        <w:t>A need for ongoing quality monitoring</w:t>
      </w:r>
    </w:p>
    <w:p w:rsidRPr="00466D0F" w:rsidR="002000EE" w:rsidP="00F010DE" w:rsidRDefault="002000EE" w14:paraId="6C12AEF2" w14:textId="77777777">
      <w:pPr>
        <w:pStyle w:val="ListParagraph"/>
        <w:numPr>
          <w:ilvl w:val="0"/>
          <w:numId w:val="11"/>
        </w:numPr>
        <w:rPr>
          <w:rFonts w:cs="Calibri"/>
          <w:lang w:val="en-GB"/>
        </w:rPr>
      </w:pPr>
      <w:r w:rsidRPr="00466D0F">
        <w:rPr>
          <w:rFonts w:cs="Calibri"/>
          <w:lang w:val="en-GB"/>
        </w:rPr>
        <w:t>A risk of service disruption if providers fail or exit the market</w:t>
      </w:r>
    </w:p>
    <w:p w:rsidRPr="00466D0F" w:rsidR="00E43A8B" w:rsidP="00F010DE" w:rsidRDefault="00E43A8B" w14:paraId="1F743151" w14:textId="77777777">
      <w:pPr>
        <w:pStyle w:val="ListParagraph"/>
        <w:rPr>
          <w:rFonts w:asciiTheme="minorHAnsi" w:hAnsiTheme="minorHAnsi"/>
          <w:lang w:val="en-GB"/>
        </w:rPr>
      </w:pPr>
    </w:p>
    <w:p w:rsidRPr="00466D0F" w:rsidR="007B3D05" w:rsidP="001C7685" w:rsidRDefault="32FEEAEF" w14:paraId="1D9A2890" w14:textId="3B7EA998">
      <w:pPr>
        <w:pStyle w:val="Heading2"/>
      </w:pPr>
      <w:bookmarkStart w:name="_Toc231656182" w:id="19"/>
      <w:r>
        <w:t>Financial sustainability pressures</w:t>
      </w:r>
      <w:bookmarkEnd w:id="19"/>
    </w:p>
    <w:p w:rsidRPr="00466D0F" w:rsidR="00540376" w:rsidRDefault="00540376" w14:paraId="313003D8" w14:textId="77777777">
      <w:pPr>
        <w:rPr>
          <w:kern w:val="2"/>
          <w:lang w:val="en-GB" w:eastAsia="en-GB"/>
          <w14:ligatures w14:val="standardContextual"/>
        </w:rPr>
      </w:pPr>
      <w:r w:rsidRPr="00466D0F">
        <w:rPr>
          <w:lang w:val="en-GB"/>
        </w:rPr>
        <w:t>Gloucestershire’s rurality continues to present challenges, particularly for the domiciliary care market. North Cotswold remains one of the most challenging areas in the county for domiciliary care provision. Despite its perceived affluence, factors such as rural geography, limited transport links, workforce constraints and seasonal access issues continue to create significant delivery barriers.</w:t>
      </w:r>
    </w:p>
    <w:p w:rsidRPr="00466D0F" w:rsidR="00AD3DEF" w:rsidP="00F010DE" w:rsidRDefault="00AD3DEF" w14:paraId="34F755FF" w14:textId="77777777">
      <w:pPr>
        <w:rPr>
          <w:rFonts w:cs="Calibri"/>
          <w:lang w:val="en-GB"/>
        </w:rPr>
      </w:pPr>
    </w:p>
    <w:p w:rsidRPr="00466D0F" w:rsidR="002B565D" w:rsidP="00F010DE" w:rsidRDefault="002B565D" w14:paraId="2813D95A" w14:textId="77777777">
      <w:pPr>
        <w:rPr>
          <w:rFonts w:cs="Calibri" w:eastAsiaTheme="majorEastAsia"/>
          <w:lang w:val="en-GB"/>
        </w:rPr>
      </w:pPr>
      <w:r w:rsidRPr="00466D0F">
        <w:rPr>
          <w:rFonts w:cs="Calibri" w:eastAsiaTheme="majorEastAsia"/>
          <w:lang w:val="en-GB"/>
        </w:rPr>
        <w:t>Over the past 12 months, provider numbers have reduced by approximately 38%. However, this is not wholly reflective of a reduction in overall capacity, as a proportion of these exits relate to smaller DCA providers leaving the market, representing a degree of intended consolidation. Alongside ongoing exits and service decommissioning, this shift is contributing to increasing market fragility. Of those remaining, only a limited number can accept new referrals due to contractual, capacity, or operational constraints, significantly restricting available provision.</w:t>
      </w:r>
    </w:p>
    <w:p w:rsidRPr="00466D0F" w:rsidR="00AD3DEF" w:rsidP="00F010DE" w:rsidRDefault="00AD3DEF" w14:paraId="2AB135FF" w14:textId="77777777">
      <w:pPr>
        <w:rPr>
          <w:rFonts w:cs="Calibri"/>
          <w:lang w:val="en-GB"/>
        </w:rPr>
      </w:pPr>
    </w:p>
    <w:p w:rsidR="00CF272F" w:rsidRDefault="32FEEAEF" w14:paraId="0F66243A" w14:textId="77777777">
      <w:pPr>
        <w:rPr>
          <w:rStyle w:val="Heading3Char"/>
          <w:rFonts w:ascii="Calibri" w:hAnsi="Calibri"/>
          <w:color w:val="auto"/>
          <w:lang w:val="en-GB"/>
        </w:rPr>
      </w:pPr>
      <w:r w:rsidRPr="32FEEAEF">
        <w:rPr>
          <w:rStyle w:val="Heading3Char"/>
          <w:rFonts w:ascii="Calibri" w:hAnsi="Calibri"/>
          <w:color w:val="auto"/>
          <w:lang w:val="en-GB"/>
        </w:rPr>
        <w:t>The market continues to show a downward trend, with many providers operating at low scale, often through legacy arrangements that are expected to reduce over time, further affecting capacity. Longer-term analysis highlights persistent instability, with many providers unable to sustain operations or grow to scale without targeted support. This presents a risk to the local authority’s ability to maintain a diverse, sustainable and high-quality care market.</w:t>
      </w:r>
    </w:p>
    <w:p w:rsidR="00C26BC7" w:rsidRDefault="00C26BC7" w14:paraId="1F8450DA" w14:textId="77777777">
      <w:pPr>
        <w:rPr>
          <w:rStyle w:val="Heading3Char"/>
          <w:rFonts w:ascii="Calibri" w:hAnsi="Calibri"/>
          <w:color w:val="auto"/>
          <w:lang w:val="en-GB"/>
        </w:rPr>
      </w:pPr>
    </w:p>
    <w:p w:rsidRPr="00466D0F" w:rsidR="00C26BC7" w:rsidRDefault="00C26BC7" w14:paraId="54F5C93E" w14:textId="019FE32F">
      <w:pPr>
        <w:rPr>
          <w:kern w:val="2"/>
          <w:lang w:val="en-GB" w:eastAsia="en-GB"/>
          <w14:ligatures w14:val="standardContextual"/>
        </w:rPr>
      </w:pPr>
      <w:r w:rsidRPr="3CB7E75F">
        <w:rPr>
          <w:rStyle w:val="Heading3Char"/>
          <w:rFonts w:ascii="Calibri" w:hAnsi="Calibri"/>
          <w:color w:val="auto"/>
          <w:lang w:val="en-GB"/>
        </w:rPr>
        <w:t>A</w:t>
      </w:r>
      <w:r w:rsidRPr="3CB7E75F" w:rsidR="77D8DE4A">
        <w:rPr>
          <w:rStyle w:val="Heading3Char"/>
          <w:rFonts w:ascii="Calibri" w:hAnsi="Calibri"/>
          <w:color w:val="auto"/>
          <w:lang w:val="en-GB"/>
        </w:rPr>
        <w:t>n</w:t>
      </w:r>
      <w:r w:rsidRPr="3CB7E75F">
        <w:rPr>
          <w:rStyle w:val="Heading3Char"/>
          <w:rFonts w:ascii="Calibri" w:hAnsi="Calibri"/>
          <w:color w:val="auto"/>
          <w:lang w:val="en-GB"/>
        </w:rPr>
        <w:t xml:space="preserve"> annual </w:t>
      </w:r>
      <w:r w:rsidRPr="3CB7E75F" w:rsidR="07CC084D">
        <w:rPr>
          <w:rStyle w:val="Heading3Char"/>
          <w:rFonts w:ascii="Calibri" w:hAnsi="Calibri"/>
          <w:color w:val="auto"/>
          <w:lang w:val="en-GB"/>
        </w:rPr>
        <w:t>g</w:t>
      </w:r>
      <w:r w:rsidRPr="3CB7E75F">
        <w:rPr>
          <w:rStyle w:val="Heading3Char"/>
          <w:rFonts w:ascii="Calibri" w:hAnsi="Calibri"/>
          <w:color w:val="auto"/>
          <w:lang w:val="en-GB"/>
        </w:rPr>
        <w:t xml:space="preserve">lobal uplift of </w:t>
      </w:r>
      <w:r w:rsidRPr="3CB7E75F" w:rsidR="00C11617">
        <w:rPr>
          <w:rStyle w:val="Heading3Char"/>
          <w:rFonts w:ascii="Calibri" w:hAnsi="Calibri"/>
          <w:color w:val="auto"/>
          <w:lang w:val="en-GB"/>
        </w:rPr>
        <w:t xml:space="preserve">care fees is carried out each year. </w:t>
      </w:r>
      <w:r w:rsidRPr="3CB7E75F" w:rsidR="00DF7783">
        <w:rPr>
          <w:rStyle w:val="Heading3Char"/>
          <w:rFonts w:ascii="Calibri" w:hAnsi="Calibri"/>
          <w:color w:val="auto"/>
          <w:lang w:val="en-GB"/>
        </w:rPr>
        <w:t xml:space="preserve"> This considers financial factors such as inflation and ensures contract terms allow providers to maintain quality services and meet statutory obligations around pay, training and workforce development.   </w:t>
      </w:r>
    </w:p>
    <w:p w:rsidR="32FEEAEF" w:rsidP="32FEEAEF" w:rsidRDefault="32FEEAEF" w14:paraId="36ED6BFD" w14:textId="09372B9B">
      <w:pPr>
        <w:rPr>
          <w:rStyle w:val="Heading3Char"/>
          <w:rFonts w:ascii="Calibri" w:hAnsi="Calibri"/>
          <w:color w:val="auto"/>
          <w:lang w:val="en-GB"/>
        </w:rPr>
      </w:pPr>
    </w:p>
    <w:p w:rsidRPr="00466D0F" w:rsidR="00497CDD" w:rsidP="001C7685" w:rsidRDefault="0030349C" w14:paraId="46C0A89C" w14:textId="1A1C62AC">
      <w:pPr>
        <w:pStyle w:val="Heading2"/>
      </w:pPr>
      <w:r w:rsidRPr="00466D0F">
        <w:t xml:space="preserve"> </w:t>
      </w:r>
      <w:bookmarkStart w:name="_Toc231656183" w:id="20"/>
      <w:r w:rsidRPr="00466D0F">
        <w:t>Overall Sufficiency Position</w:t>
      </w:r>
      <w:bookmarkEnd w:id="20"/>
    </w:p>
    <w:p w:rsidRPr="00466D0F" w:rsidR="0030349C" w:rsidP="00F010DE" w:rsidRDefault="0030349C" w14:paraId="484752F8" w14:textId="77777777">
      <w:pPr>
        <w:rPr>
          <w:rFonts w:cs="Calibri"/>
          <w:lang w:val="en-GB"/>
        </w:rPr>
      </w:pPr>
    </w:p>
    <w:p w:rsidRPr="00466D0F" w:rsidR="0030349C" w:rsidP="00F010DE" w:rsidRDefault="0030349C" w14:paraId="0A79D1BC" w14:textId="2053C207">
      <w:pPr>
        <w:rPr>
          <w:rFonts w:cs="Calibri"/>
          <w:b/>
          <w:i/>
          <w:iCs/>
          <w:lang w:val="en-GB"/>
        </w:rPr>
      </w:pPr>
      <w:r w:rsidRPr="00466D0F">
        <w:rPr>
          <w:rFonts w:cs="Calibri"/>
          <w:b/>
          <w:i/>
          <w:iCs/>
          <w:lang w:val="en-GB"/>
        </w:rPr>
        <w:t>Adequate volume and capacity</w:t>
      </w:r>
    </w:p>
    <w:p w:rsidRPr="00466D0F" w:rsidR="007D59E7" w:rsidRDefault="007D59E7" w14:paraId="0813B1B5" w14:textId="77777777">
      <w:pPr>
        <w:rPr>
          <w:kern w:val="2"/>
          <w:lang w:val="en-GB" w:eastAsia="en-GB"/>
          <w14:ligatures w14:val="standardContextual"/>
        </w:rPr>
      </w:pPr>
      <w:r w:rsidRPr="00466D0F">
        <w:rPr>
          <w:lang w:val="en-GB"/>
        </w:rPr>
        <w:t>At present, Gloucestershire’s adult social care market retains sufficient capacity across residential, nursing and domiciliary care in aggregate terms. However, sufficiency is increasingly uneven. Capacity is under growing pressure in higher-acuity, specialist and rural provision, and future demand growth is likely to intensify these pressures unless targeted market development and commissioning action are sustained.</w:t>
      </w:r>
    </w:p>
    <w:p w:rsidRPr="00466D0F" w:rsidR="008141BA" w:rsidP="00F010DE" w:rsidRDefault="008141BA" w14:paraId="0D2DD59A" w14:textId="77777777">
      <w:pPr>
        <w:rPr>
          <w:rFonts w:cs="Calibri"/>
          <w:kern w:val="2"/>
          <w:lang w:val="en-GB" w:eastAsia="en-GB"/>
          <w14:ligatures w14:val="standardContextual"/>
        </w:rPr>
      </w:pPr>
    </w:p>
    <w:p w:rsidRPr="00466D0F" w:rsidR="0030349C" w:rsidP="00F010DE" w:rsidRDefault="0030349C" w14:paraId="7E6FDB01" w14:textId="77777777">
      <w:pPr>
        <w:rPr>
          <w:rFonts w:cs="Calibri"/>
          <w:b/>
          <w:i/>
          <w:iCs/>
          <w:lang w:val="en-GB"/>
        </w:rPr>
      </w:pPr>
      <w:r w:rsidRPr="00466D0F">
        <w:rPr>
          <w:rFonts w:cs="Calibri"/>
          <w:b/>
          <w:i/>
          <w:iCs/>
          <w:lang w:val="en-GB"/>
        </w:rPr>
        <w:t>Range and diversity of provision</w:t>
      </w:r>
    </w:p>
    <w:p w:rsidRPr="00466D0F" w:rsidR="0031656A" w:rsidP="00F010DE" w:rsidRDefault="0031656A" w14:paraId="4941320C" w14:textId="77777777">
      <w:pPr>
        <w:rPr>
          <w:rFonts w:cs="Calibri"/>
          <w:lang w:val="en-GB"/>
        </w:rPr>
      </w:pPr>
      <w:r w:rsidRPr="00466D0F">
        <w:rPr>
          <w:rFonts w:cs="Calibri"/>
          <w:lang w:val="en-GB"/>
        </w:rPr>
        <w:t>Gloucestershire benefits from a diverse care market comprising residential care homes, nursing homes, domiciliary care providers and specialist services delivered by a mixture of independent, voluntary sector and larger corporate organisations. This diversity provides choice for individuals and contributes to market resilience. There is also a growing focus on supporting people to remain independent within their own homes for longer, in line with strategic commissioning priorities. Looking ahead, maintaining sufficient diversity will become increasingly important as the complexity of need increases. Consideration will be required to stimulate growth in specialist provision, including dementia care, nursing care, complex home care and services capable of supporting people with multiple long-term conditions. Rural communities may continue to experience more limited provider choice compared with urban areas.</w:t>
      </w:r>
    </w:p>
    <w:p w:rsidRPr="00466D0F" w:rsidR="0030349C" w:rsidP="00F010DE" w:rsidRDefault="0030349C" w14:paraId="31946D4D" w14:textId="77777777">
      <w:pPr>
        <w:rPr>
          <w:rFonts w:cs="Calibri"/>
          <w:lang w:val="en-GB"/>
        </w:rPr>
      </w:pPr>
    </w:p>
    <w:p w:rsidRPr="00466D0F" w:rsidR="0030349C" w:rsidP="00F010DE" w:rsidRDefault="0030349C" w14:paraId="2431C108" w14:textId="77777777">
      <w:pPr>
        <w:rPr>
          <w:rFonts w:cs="Calibri"/>
          <w:b/>
          <w:i/>
          <w:iCs/>
          <w:lang w:val="en-GB"/>
        </w:rPr>
      </w:pPr>
      <w:r w:rsidRPr="00466D0F">
        <w:rPr>
          <w:rFonts w:cs="Calibri"/>
          <w:b/>
          <w:i/>
          <w:iCs/>
          <w:lang w:val="en-GB"/>
        </w:rPr>
        <w:t>Quality and safety</w:t>
      </w:r>
    </w:p>
    <w:p w:rsidRPr="00466D0F" w:rsidR="001D4367" w:rsidP="00F010DE" w:rsidRDefault="001D4367" w14:paraId="776B2A80" w14:textId="77777777">
      <w:pPr>
        <w:rPr>
          <w:rFonts w:cs="Calibri"/>
          <w:lang w:val="en-GB"/>
        </w:rPr>
      </w:pPr>
      <w:r w:rsidRPr="00466D0F">
        <w:rPr>
          <w:rFonts w:cs="Calibri"/>
          <w:lang w:val="en-GB"/>
        </w:rPr>
        <w:t>Established quality assurance processes, contract monitoring arrangements and provider engagement mechanisms support continuous improvement and enable risks to be identified and addressed at an early stage. This provides assurance that people receiving care are generally supported by services that are safe, effective and responsive. Over the next two to three years, maintaining these quality standards will remain a priority as providers respond to increasing demand, workforce pressures and greater complexity of care needs. Sustained oversight and support will be necessary to ensure quality is maintained as the market evolves.</w:t>
      </w:r>
    </w:p>
    <w:p w:rsidRPr="00466D0F" w:rsidR="0030349C" w:rsidP="00F010DE" w:rsidRDefault="0030349C" w14:paraId="04D53358" w14:textId="77777777">
      <w:pPr>
        <w:rPr>
          <w:rFonts w:cs="Calibri"/>
          <w:lang w:val="en-GB"/>
        </w:rPr>
      </w:pPr>
    </w:p>
    <w:p w:rsidRPr="00466D0F" w:rsidR="0030349C" w:rsidP="00F010DE" w:rsidRDefault="0030349C" w14:paraId="23C71990" w14:textId="77777777">
      <w:pPr>
        <w:rPr>
          <w:rFonts w:cs="Calibri"/>
          <w:b/>
          <w:i/>
          <w:iCs/>
          <w:lang w:val="en-GB"/>
        </w:rPr>
      </w:pPr>
      <w:r w:rsidRPr="00466D0F">
        <w:rPr>
          <w:rFonts w:cs="Calibri"/>
          <w:b/>
          <w:i/>
          <w:iCs/>
          <w:lang w:val="en-GB"/>
        </w:rPr>
        <w:t>Sustainability and resilience</w:t>
      </w:r>
    </w:p>
    <w:p w:rsidRPr="00466D0F" w:rsidR="007D59E7" w:rsidRDefault="007D59E7" w14:paraId="2FA24DE6" w14:textId="77777777">
      <w:pPr>
        <w:rPr>
          <w:kern w:val="2"/>
          <w:lang w:val="en-GB" w:eastAsia="en-GB"/>
          <w14:ligatures w14:val="standardContextual"/>
        </w:rPr>
      </w:pPr>
      <w:r w:rsidRPr="00466D0F">
        <w:rPr>
          <w:lang w:val="en-GB"/>
        </w:rPr>
        <w:t>The Gloucestershire adult social care market demonstrates a reasonable degree of resilience, supported by an established provider base, improving vacancy trends and clear commissioning intentions. However, sustainability risks remain significant. Recruitment and retention challenges continue to affect the sector, particularly in rural areas, while rising care complexity, inflationary pressures, increasing employment costs and demographic growth are likely to place additional strain on providers over the next two to three years. Continued market engagement, workforce development initiatives and targeted commissioning activity will therefore be essential to maintain resilience and future sufficiency.</w:t>
      </w:r>
    </w:p>
    <w:p w:rsidRPr="00466D0F" w:rsidR="00787E57" w:rsidP="00F010DE" w:rsidRDefault="00787E57" w14:paraId="3B8B0226" w14:textId="77777777">
      <w:pPr>
        <w:rPr>
          <w:lang w:val="en-GB"/>
        </w:rPr>
      </w:pPr>
    </w:p>
    <w:p w:rsidRPr="00466D0F" w:rsidR="00787E57" w:rsidP="00F010DE" w:rsidRDefault="00787E57" w14:paraId="5EDE2DF7" w14:textId="77777777">
      <w:pPr>
        <w:rPr>
          <w:lang w:val="en-GB"/>
        </w:rPr>
      </w:pPr>
      <w:r w:rsidRPr="00466D0F">
        <w:rPr>
          <w:lang w:val="en-GB"/>
        </w:rPr>
        <w:t>While the market is expected to remain stable over the next two to three years, targeted market development and capacity-building activity will be required to ensure future demand can be met, particularly within complex care, nursing care, dementia services and rural communities.</w:t>
      </w:r>
    </w:p>
    <w:p w:rsidRPr="00466D0F" w:rsidR="00047312" w:rsidP="001C7685" w:rsidRDefault="71C0398E" w14:paraId="438C7348" w14:textId="182ADC31">
      <w:pPr>
        <w:pStyle w:val="Heading1"/>
      </w:pPr>
      <w:bookmarkStart w:name="_Toc231656184" w:id="21"/>
      <w:r w:rsidRPr="00466D0F">
        <w:t>Quality Approach</w:t>
      </w:r>
      <w:bookmarkEnd w:id="21"/>
      <w:r w:rsidRPr="00466D0F" w:rsidR="4AFC1A2B">
        <w:t xml:space="preserve"> </w:t>
      </w:r>
    </w:p>
    <w:p w:rsidRPr="00466D0F" w:rsidR="00E43A8B" w:rsidP="00F010DE" w:rsidRDefault="00E43A8B" w14:paraId="14EE96D4" w14:textId="77777777">
      <w:pPr>
        <w:rPr>
          <w:lang w:val="en-GB"/>
        </w:rPr>
      </w:pPr>
    </w:p>
    <w:p w:rsidRPr="00466D0F" w:rsidR="00C40669" w:rsidP="001C7685" w:rsidRDefault="00A47CDD" w14:paraId="43F59A7A" w14:textId="0F4A194D">
      <w:pPr>
        <w:pStyle w:val="Heading2"/>
      </w:pPr>
      <w:bookmarkStart w:name="_Toc231656185" w:id="22"/>
      <w:r w:rsidRPr="00466D0F">
        <w:t>Adult Social Care</w:t>
      </w:r>
      <w:r w:rsidRPr="00466D0F" w:rsidR="00702FBC">
        <w:t xml:space="preserve"> Commissioning</w:t>
      </w:r>
      <w:bookmarkEnd w:id="22"/>
    </w:p>
    <w:p w:rsidRPr="00466D0F" w:rsidR="008F3346" w:rsidP="00F010DE" w:rsidRDefault="008F3346" w14:paraId="4AE72F53" w14:textId="539329F8">
      <w:pPr>
        <w:rPr>
          <w:lang w:val="en-GB"/>
        </w:rPr>
      </w:pPr>
      <w:r w:rsidRPr="00466D0F">
        <w:rPr>
          <w:lang w:val="en-GB"/>
        </w:rPr>
        <w:t>From 1 September 2025, Gloucestershire County Council and Gloucestershire Integrated Care Board moved to an aligned commissioning model for adults. For GCC, this established a dedicated ASC Commissioning function with a clearer focus on the delivery of the ASC Target Operating Model.</w:t>
      </w:r>
      <w:r w:rsidRPr="00466D0F" w:rsidR="00EC7BD6">
        <w:rPr>
          <w:lang w:val="en-GB"/>
        </w:rPr>
        <w:t xml:space="preserve"> </w:t>
      </w:r>
      <w:r w:rsidRPr="00466D0F">
        <w:rPr>
          <w:lang w:val="en-GB"/>
        </w:rPr>
        <w:t>Within that model, commissioning has a central role in shaping a market that can better support prevention, reduce avoidable escalation, and help people remain independent for longer. The new function brings together quality, contracts, market intelligence and improvement activity across the full adult social care market, including regulated and unregulated provision.</w:t>
      </w:r>
      <w:r w:rsidRPr="00466D0F" w:rsidR="00EC7BD6">
        <w:rPr>
          <w:lang w:val="en-GB"/>
        </w:rPr>
        <w:t xml:space="preserve"> </w:t>
      </w:r>
      <w:r w:rsidRPr="00466D0F">
        <w:rPr>
          <w:lang w:val="en-GB"/>
        </w:rPr>
        <w:t>This wider scope strengthens the council’s ability to identify risk earlier, support provider improvement, respond to workforce and market fragility, and take a more consistent whole-market view of quality and resilience.</w:t>
      </w:r>
    </w:p>
    <w:p w:rsidRPr="00466D0F" w:rsidR="008F3346" w:rsidP="00F010DE" w:rsidRDefault="008F3346" w14:paraId="0A2C3754" w14:textId="77777777">
      <w:pPr>
        <w:rPr>
          <w:kern w:val="2"/>
          <w:lang w:val="en-GB" w:eastAsia="en-GB"/>
          <w14:ligatures w14:val="standardContextual"/>
        </w:rPr>
      </w:pPr>
    </w:p>
    <w:p w:rsidRPr="00466D0F" w:rsidR="008F3346" w:rsidP="00F010DE" w:rsidRDefault="008F3346" w14:paraId="0BA8F60A" w14:textId="66F5BDA4">
      <w:pPr>
        <w:rPr>
          <w:lang w:val="en-GB"/>
        </w:rPr>
      </w:pPr>
      <w:r w:rsidRPr="00466D0F">
        <w:rPr>
          <w:lang w:val="en-GB"/>
        </w:rPr>
        <w:t>A significant programme of redesign has therefore been undertaken to ensure that quality assurance, improvement support and contract oversight are aligned to the ambitions of the Target Operating Model, with a stronger emphasis on proportionate assurance, earlier intervention, and better use of intelligence to inform commissioning and market shaping.</w:t>
      </w:r>
      <w:r w:rsidRPr="00466D0F" w:rsidR="00EC7BD6">
        <w:rPr>
          <w:lang w:val="en-GB"/>
        </w:rPr>
        <w:t xml:space="preserve"> </w:t>
      </w:r>
      <w:r w:rsidRPr="00466D0F">
        <w:rPr>
          <w:lang w:val="en-GB"/>
        </w:rPr>
        <w:t>The quality and contracts structure is aligned to district localities, supporting a place-based approach that strengthens local relationships, improves visibility of emerging issues, and enables a more responsive approach to market oversight and development.</w:t>
      </w:r>
    </w:p>
    <w:p w:rsidRPr="00466D0F" w:rsidR="008F3346" w:rsidP="00F010DE" w:rsidRDefault="008F3346" w14:paraId="0D58B7D6" w14:textId="77777777">
      <w:pPr>
        <w:rPr>
          <w:lang w:val="en-GB"/>
        </w:rPr>
      </w:pPr>
    </w:p>
    <w:p w:rsidRPr="00466D0F" w:rsidR="00204B94" w:rsidP="001C7685" w:rsidRDefault="00021068" w14:paraId="29DAA258" w14:textId="32BD4838">
      <w:pPr>
        <w:pStyle w:val="Heading2"/>
      </w:pPr>
      <w:bookmarkStart w:name="_Toc231656186" w:id="23"/>
      <w:r w:rsidRPr="00466D0F">
        <w:t>Quality Assurance Framework</w:t>
      </w:r>
      <w:bookmarkEnd w:id="23"/>
    </w:p>
    <w:p w:rsidRPr="00466D0F" w:rsidR="00C54377" w:rsidP="00F010DE" w:rsidRDefault="00C54377" w14:paraId="74F4F8FB" w14:textId="77777777">
      <w:pPr>
        <w:rPr>
          <w:lang w:val="en-GB"/>
        </w:rPr>
      </w:pPr>
      <w:r w:rsidRPr="00466D0F">
        <w:rPr>
          <w:lang w:val="en-GB"/>
        </w:rPr>
        <w:t>The Quality Assurance Framework (QAF) has been developed as a core enabler of the ASC Target Operating Model. It supports the move towards a more preventative, person-centred and home-first approach by giving ASC Commissioning a consistent way to understand provider quality, capacity and risk across the whole market. Within the context of the Target Operating Model, quality assurance is not only about identifying failure or non-compliance. It is also about intervening earlier, supporting improvement, and shaping a market that is better able to prevent, reduce and delay the need for more intensive support.</w:t>
      </w:r>
    </w:p>
    <w:p w:rsidRPr="00466D0F" w:rsidR="008F3346" w:rsidP="00F010DE" w:rsidRDefault="008F3346" w14:paraId="26EE1733" w14:textId="77777777">
      <w:pPr>
        <w:rPr>
          <w:kern w:val="2"/>
          <w:lang w:val="en-GB" w:eastAsia="en-GB"/>
          <w14:ligatures w14:val="standardContextual"/>
        </w:rPr>
      </w:pPr>
    </w:p>
    <w:p w:rsidRPr="00466D0F" w:rsidR="004E125A" w:rsidP="00F010DE" w:rsidRDefault="004E125A" w14:paraId="72E82A47" w14:textId="004FD3B8">
      <w:pPr>
        <w:rPr>
          <w:lang w:val="en-GB"/>
        </w:rPr>
      </w:pPr>
      <w:r w:rsidRPr="00466D0F">
        <w:rPr>
          <w:lang w:val="en-GB"/>
        </w:rPr>
        <w:t xml:space="preserve">The QAF brings together provider self-assessment, including quarterly data returns and </w:t>
      </w:r>
      <w:r w:rsidRPr="00466D0F" w:rsidR="00EE438A">
        <w:rPr>
          <w:lang w:val="en-GB"/>
        </w:rPr>
        <w:t>a comprehensive</w:t>
      </w:r>
      <w:r w:rsidRPr="00466D0F">
        <w:rPr>
          <w:lang w:val="en-GB"/>
        </w:rPr>
        <w:t xml:space="preserve"> qualitative review against all 16 standards, with on-site quality assurance visits, improvement support and action planning, Expert by Experience insight, complaints, safeguarding information, CQC intelligence, wider soft intelligence, and contractual escalation activity. Together, these components provide a rounded and dynamic picture of provider quality, risk and resilience.</w:t>
      </w:r>
    </w:p>
    <w:p w:rsidRPr="00466D0F" w:rsidR="00AE6464" w:rsidP="00F010DE" w:rsidRDefault="00AE6464" w14:paraId="57C4AE09" w14:textId="77777777">
      <w:pPr>
        <w:rPr>
          <w:kern w:val="2"/>
          <w:lang w:val="en-GB" w:eastAsia="en-GB"/>
          <w14:ligatures w14:val="standardContextual"/>
        </w:rPr>
      </w:pPr>
    </w:p>
    <w:p w:rsidRPr="00466D0F" w:rsidR="00C54377" w:rsidP="00F010DE" w:rsidRDefault="00C54377" w14:paraId="65743819" w14:textId="6240B313">
      <w:pPr>
        <w:rPr>
          <w:kern w:val="2"/>
          <w:lang w:val="en-GB" w:eastAsia="en-GB"/>
          <w14:ligatures w14:val="standardContextual"/>
        </w:rPr>
      </w:pPr>
      <w:r w:rsidRPr="00466D0F">
        <w:rPr>
          <w:rStyle w:val="Heading3Char"/>
          <w:rFonts w:ascii="Calibri" w:hAnsi="Calibri"/>
          <w:color w:val="auto"/>
          <w:lang w:val="en-GB"/>
        </w:rPr>
        <w:t>Both the quarterly data return and the comprehensive self-assessment were co-produced with providers to ensure the approach is practical, proportionate and capable of supporting continuous improvement across a diverse market. Engagement sessions ran from October 2025 to March 2026 to develop the questions, guidance and implementation model. Early adopter providers helped test the approach and continue to inform refinement, helping to ensure the framework supports both effective assurance and the wider transformation required through the ASC Target Operating Model.</w:t>
      </w:r>
    </w:p>
    <w:p w:rsidRPr="00466D0F" w:rsidR="000E4CF2" w:rsidP="00F010DE" w:rsidRDefault="000E4CF2" w14:paraId="34FD8705" w14:textId="77777777">
      <w:pPr>
        <w:rPr>
          <w:rFonts w:cs="Calibri"/>
          <w:lang w:val="en-GB"/>
        </w:rPr>
      </w:pPr>
    </w:p>
    <w:p w:rsidRPr="00466D0F" w:rsidR="00A25F43" w:rsidP="00F010DE" w:rsidRDefault="00C54377" w14:paraId="471D2BE2" w14:textId="0FF5A9E8">
      <w:pPr>
        <w:rPr>
          <w:rStyle w:val="Heading3Char"/>
          <w:rFonts w:ascii="Calibri" w:hAnsi="Calibri" w:cs="Calibri"/>
          <w:color w:val="auto"/>
          <w:lang w:val="en-GB"/>
        </w:rPr>
      </w:pPr>
      <w:r w:rsidRPr="00466D0F">
        <w:rPr>
          <w:rStyle w:val="Heading3Char"/>
          <w:rFonts w:ascii="Calibri" w:hAnsi="Calibri"/>
          <w:color w:val="auto"/>
          <w:lang w:val="en-GB"/>
        </w:rPr>
        <w:t>Following successful implementation, from April 2026 all ASC services in Gloucestershire, including residential, nursing, domiciliary care, supported living, unregulated services, day centres, respite, specialist residential colleges and direct payment support services, are expected to complete the new self-assessment process. This whole-market approach is important to the Target Operating Model because it improves visibility across the full range of support available to people, not only regulated or traditionally commissioned services, and provides a stronger basis for prevention, market development and targeted intervention.</w:t>
      </w:r>
      <w:r w:rsidRPr="00466D0F" w:rsidR="00EC7BD6">
        <w:rPr>
          <w:rStyle w:val="Heading3Char"/>
          <w:rFonts w:ascii="Calibri" w:hAnsi="Calibri"/>
          <w:color w:val="auto"/>
          <w:lang w:val="en-GB"/>
        </w:rPr>
        <w:t xml:space="preserve"> </w:t>
      </w:r>
      <w:r w:rsidRPr="00466D0F" w:rsidR="005910F3">
        <w:rPr>
          <w:rStyle w:val="Heading3Char"/>
          <w:rFonts w:ascii="Calibri" w:hAnsi="Calibri" w:cs="Calibri"/>
          <w:color w:val="auto"/>
          <w:lang w:val="en-GB"/>
        </w:rPr>
        <w:t>All assessments align to a common set of domains and standards</w:t>
      </w:r>
      <w:r w:rsidRPr="00466D0F" w:rsidR="0066763D">
        <w:rPr>
          <w:rStyle w:val="Heading3Char"/>
          <w:rFonts w:ascii="Calibri" w:hAnsi="Calibri" w:cs="Calibri"/>
          <w:color w:val="auto"/>
          <w:lang w:val="en-GB"/>
        </w:rPr>
        <w:t>.</w:t>
      </w:r>
    </w:p>
    <w:p w:rsidRPr="00466D0F" w:rsidR="00EC7BD6" w:rsidP="00F010DE" w:rsidRDefault="00EC7BD6" w14:paraId="4880F5EC" w14:textId="77777777">
      <w:pPr>
        <w:rPr>
          <w:rStyle w:val="Heading3Char"/>
          <w:rFonts w:ascii="Calibri" w:hAnsi="Calibri" w:cs="Calibri"/>
          <w:color w:val="auto"/>
          <w:lang w:val="en-GB"/>
        </w:rPr>
      </w:pPr>
    </w:p>
    <w:p w:rsidRPr="00466D0F" w:rsidR="001C3530" w:rsidP="003904F9" w:rsidRDefault="001C3530" w14:paraId="4BF9F5C2" w14:textId="08874EC3">
      <w:pPr>
        <w:pStyle w:val="Heading2"/>
        <w:rPr>
          <w:kern w:val="2"/>
          <w:lang w:eastAsia="en-GB"/>
          <w14:ligatures w14:val="standardContextual"/>
        </w:rPr>
      </w:pPr>
      <w:bookmarkStart w:name="_Toc231656187" w:id="24"/>
      <w:r w:rsidRPr="00466D0F">
        <w:t>Expert by Experience Quality Assurance Service Activity</w:t>
      </w:r>
      <w:bookmarkEnd w:id="24"/>
    </w:p>
    <w:p w:rsidRPr="00466D0F" w:rsidR="00B410E4" w:rsidP="00F010DE" w:rsidRDefault="00B410E4" w14:paraId="240D05E7" w14:textId="77777777">
      <w:pPr>
        <w:tabs>
          <w:tab w:val="left" w:pos="567"/>
        </w:tabs>
        <w:rPr>
          <w:rFonts w:cs="Calibri" w:eastAsiaTheme="majorEastAsia"/>
          <w:lang w:val="en-GB"/>
        </w:rPr>
      </w:pPr>
      <w:r w:rsidRPr="00466D0F">
        <w:rPr>
          <w:rFonts w:cs="Calibri" w:eastAsiaTheme="majorEastAsia"/>
          <w:lang w:val="en-GB"/>
        </w:rPr>
        <w:t>Within Adult Social Care, Experts by Experience play a vital role in co-producing services, shaping commissioning, and informing assessment and care planning processes so that support is accessible, proportionate, and responsive to the diverse needs, preferences, and outcomes of all ASC groups across adulthood and later life.</w:t>
      </w:r>
    </w:p>
    <w:p w:rsidRPr="00466D0F" w:rsidR="00F010DE" w:rsidP="00F010DE" w:rsidRDefault="00F010DE" w14:paraId="38B346FA" w14:textId="77777777">
      <w:pPr>
        <w:tabs>
          <w:tab w:val="left" w:pos="567"/>
        </w:tabs>
        <w:rPr>
          <w:rFonts w:cs="Calibri" w:eastAsiaTheme="majorEastAsia"/>
          <w:lang w:val="en-GB"/>
        </w:rPr>
      </w:pPr>
    </w:p>
    <w:p w:rsidRPr="00466D0F" w:rsidR="00B410E4" w:rsidP="00F010DE" w:rsidRDefault="00B410E4" w14:paraId="22A839D9" w14:textId="50524E4D">
      <w:pPr>
        <w:tabs>
          <w:tab w:val="left" w:pos="567"/>
        </w:tabs>
        <w:rPr>
          <w:rFonts w:cs="Arial"/>
          <w:lang w:val="en-GB"/>
        </w:rPr>
      </w:pPr>
      <w:r w:rsidRPr="00466D0F">
        <w:rPr>
          <w:rFonts w:cs="Arial"/>
          <w:lang w:val="en-GB"/>
        </w:rPr>
        <w:t>The service has enabled people using commissioned care and support services to give feedback in a supportive peer-to-peer setting, using communication methods that suit them</w:t>
      </w:r>
      <w:r w:rsidRPr="00466D0F" w:rsidR="00541053">
        <w:rPr>
          <w:rFonts w:cs="Arial"/>
          <w:lang w:val="en-GB"/>
        </w:rPr>
        <w:t>,</w:t>
      </w:r>
      <w:r w:rsidRPr="00466D0F">
        <w:rPr>
          <w:rFonts w:cs="Arial"/>
          <w:lang w:val="en-GB"/>
        </w:rPr>
        <w:t xml:space="preserve"> </w:t>
      </w:r>
      <w:r w:rsidRPr="00466D0F" w:rsidR="00541053">
        <w:rPr>
          <w:rFonts w:cs="Arial"/>
          <w:lang w:val="en-GB"/>
        </w:rPr>
        <w:t>e</w:t>
      </w:r>
      <w:r w:rsidRPr="00466D0F">
        <w:rPr>
          <w:rFonts w:cs="Arial"/>
          <w:lang w:val="en-GB"/>
        </w:rPr>
        <w:t xml:space="preserve">nsuring everyone can meaningfully </w:t>
      </w:r>
      <w:r w:rsidRPr="00466D0F" w:rsidR="00541053">
        <w:rPr>
          <w:rFonts w:cs="Arial"/>
          <w:lang w:val="en-GB"/>
        </w:rPr>
        <w:t xml:space="preserve">be </w:t>
      </w:r>
      <w:r w:rsidRPr="00466D0F">
        <w:rPr>
          <w:rFonts w:cs="Arial"/>
          <w:lang w:val="en-GB"/>
        </w:rPr>
        <w:t>involved in quality assurance and share their experiences, regardless of disability, diagnosis, or funding status.</w:t>
      </w:r>
    </w:p>
    <w:p w:rsidRPr="00466D0F" w:rsidR="00F010DE" w:rsidP="00F010DE" w:rsidRDefault="00F010DE" w14:paraId="0A3F334A" w14:textId="77777777">
      <w:pPr>
        <w:tabs>
          <w:tab w:val="left" w:pos="567"/>
        </w:tabs>
        <w:rPr>
          <w:rFonts w:cs="Arial"/>
          <w:lang w:val="en-GB"/>
        </w:rPr>
      </w:pPr>
    </w:p>
    <w:p w:rsidRPr="00466D0F" w:rsidR="00B410E4" w:rsidP="00F010DE" w:rsidRDefault="00B410E4" w14:paraId="3A0297C6" w14:textId="3C864D94">
      <w:pPr>
        <w:tabs>
          <w:tab w:val="left" w:pos="567"/>
        </w:tabs>
        <w:rPr>
          <w:rFonts w:cs="Calibri"/>
          <w:lang w:val="en-GB"/>
        </w:rPr>
      </w:pPr>
      <w:r w:rsidRPr="00466D0F">
        <w:rPr>
          <w:rFonts w:cs="Calibri"/>
          <w:lang w:val="en-GB"/>
        </w:rPr>
        <w:t>The current service</w:t>
      </w:r>
      <w:r w:rsidRPr="00466D0F" w:rsidR="009218C6">
        <w:rPr>
          <w:rFonts w:cs="Calibri"/>
          <w:lang w:val="en-GB"/>
        </w:rPr>
        <w:t xml:space="preserve"> d</w:t>
      </w:r>
      <w:r w:rsidRPr="00466D0F">
        <w:rPr>
          <w:rFonts w:cs="Calibri"/>
          <w:lang w:val="en-GB"/>
        </w:rPr>
        <w:t>elivers expert-led reviews of the quality and effectiveness of commissioned care and support</w:t>
      </w:r>
      <w:r w:rsidRPr="00466D0F" w:rsidR="009218C6">
        <w:rPr>
          <w:rFonts w:cs="Calibri"/>
          <w:lang w:val="en-GB"/>
        </w:rPr>
        <w:t>, k</w:t>
      </w:r>
      <w:r w:rsidRPr="00466D0F">
        <w:rPr>
          <w:rFonts w:cs="Calibri"/>
          <w:lang w:val="en-GB"/>
        </w:rPr>
        <w:t>eeps people central to the quality assurance process, with support to carry out the role effectively</w:t>
      </w:r>
      <w:r w:rsidRPr="00466D0F" w:rsidR="002863B1">
        <w:rPr>
          <w:rFonts w:cs="Calibri"/>
          <w:lang w:val="en-GB"/>
        </w:rPr>
        <w:t>, p</w:t>
      </w:r>
      <w:r w:rsidRPr="00466D0F">
        <w:rPr>
          <w:rFonts w:cs="Calibri"/>
          <w:lang w:val="en-GB"/>
        </w:rPr>
        <w:t>uts people’s experiences at the heart of quality assurance, using accessible and meaningful communication</w:t>
      </w:r>
      <w:r w:rsidRPr="00466D0F" w:rsidR="000345AE">
        <w:rPr>
          <w:rFonts w:cs="Calibri"/>
          <w:lang w:val="en-GB"/>
        </w:rPr>
        <w:t>, w</w:t>
      </w:r>
      <w:r w:rsidRPr="00466D0F">
        <w:rPr>
          <w:rFonts w:cs="Calibri"/>
          <w:lang w:val="en-GB"/>
        </w:rPr>
        <w:t>orks as a partner in the wider QA programme, complementing other quality and commissioning activity (e.g., Serious Adult Reviews)</w:t>
      </w:r>
      <w:r w:rsidRPr="00466D0F" w:rsidR="000345AE">
        <w:rPr>
          <w:rFonts w:cs="Calibri"/>
          <w:lang w:val="en-GB"/>
        </w:rPr>
        <w:t>, p</w:t>
      </w:r>
      <w:r w:rsidRPr="00466D0F">
        <w:rPr>
          <w:rFonts w:cs="Calibri"/>
          <w:lang w:val="en-GB"/>
        </w:rPr>
        <w:t>rovides supportive paid employment opportunities for</w:t>
      </w:r>
      <w:r w:rsidRPr="00466D0F" w:rsidR="001A7564">
        <w:rPr>
          <w:rFonts w:cs="Calibri"/>
          <w:lang w:val="en-GB"/>
        </w:rPr>
        <w:t xml:space="preserve"> experts by experience and c</w:t>
      </w:r>
      <w:r w:rsidRPr="00466D0F">
        <w:rPr>
          <w:rFonts w:cs="Calibri"/>
          <w:lang w:val="en-GB"/>
        </w:rPr>
        <w:t>ompletes quality assignments and recommendations in line with commissioning arrangements, processes, and relevant local and national policy and legislation.</w:t>
      </w:r>
    </w:p>
    <w:p w:rsidRPr="00466D0F" w:rsidR="00540376" w:rsidP="00F010DE" w:rsidRDefault="00540376" w14:paraId="28C0C0CB" w14:textId="77777777">
      <w:pPr>
        <w:tabs>
          <w:tab w:val="left" w:pos="567"/>
        </w:tabs>
        <w:rPr>
          <w:rFonts w:cs="Calibri"/>
          <w:lang w:val="en-GB" w:eastAsia="en-GB"/>
        </w:rPr>
      </w:pPr>
    </w:p>
    <w:p w:rsidRPr="00466D0F" w:rsidR="00540376" w:rsidRDefault="00540376" w14:paraId="6D79C483" w14:textId="77777777">
      <w:pPr>
        <w:rPr>
          <w:kern w:val="2"/>
          <w:lang w:val="en-GB" w:eastAsia="en-GB"/>
          <w14:ligatures w14:val="standardContextual"/>
        </w:rPr>
      </w:pPr>
      <w:r w:rsidRPr="00466D0F">
        <w:rPr>
          <w:lang w:val="en-GB"/>
        </w:rPr>
        <w:t>Under the current contract, Expert by Experience led quality visits continue to focus on the adults of working age market. A test and learn approach is underway in the older people’s market to provide a more equitable offer, complementing the statutory Enter and View visits already undertaken by Healthwatch Gloucestershire.</w:t>
      </w:r>
    </w:p>
    <w:p w:rsidRPr="00466D0F" w:rsidR="006C2A4E" w:rsidP="00F010DE" w:rsidRDefault="006C2A4E" w14:paraId="21D27520" w14:textId="77777777">
      <w:pPr>
        <w:rPr>
          <w:rStyle w:val="Heading3Char"/>
          <w:rFonts w:ascii="Calibri" w:hAnsi="Calibri" w:cs="Calibri"/>
          <w:color w:val="auto"/>
          <w:lang w:val="en-GB"/>
        </w:rPr>
      </w:pPr>
    </w:p>
    <w:p w:rsidRPr="00466D0F" w:rsidR="00540376" w:rsidRDefault="00540376" w14:paraId="001BB92F" w14:textId="77777777">
      <w:pPr>
        <w:rPr>
          <w:kern w:val="2"/>
          <w:lang w:val="en-GB" w:eastAsia="en-GB"/>
          <w14:ligatures w14:val="standardContextual"/>
        </w:rPr>
      </w:pPr>
      <w:r w:rsidRPr="00466D0F">
        <w:rPr>
          <w:lang w:val="en-GB"/>
        </w:rPr>
        <w:t>There was a reduction in Expert by Experience quality visits during 2025/26 against the unit count defined in the contract. This reflects structure and staffing changes within Inclusion Gloucestershire. As there has also been less need for follow-up visits this year due to improved provider ratings, the impact on initial service visits compared with 2024/25 has been limited.</w:t>
      </w:r>
    </w:p>
    <w:p w:rsidRPr="00466D0F" w:rsidR="003E0DBF" w:rsidP="00F010DE" w:rsidRDefault="003E0DBF" w14:paraId="353A11C6" w14:textId="77777777">
      <w:pPr>
        <w:rPr>
          <w:rStyle w:val="Heading3Char"/>
          <w:rFonts w:ascii="Calibri" w:hAnsi="Calibri" w:cs="Calibri"/>
          <w:color w:val="auto"/>
          <w:lang w:val="en-GB"/>
        </w:rPr>
      </w:pPr>
    </w:p>
    <w:p w:rsidRPr="00466D0F" w:rsidR="003E0DBF" w:rsidP="003E0DBF" w:rsidRDefault="003E0DBF" w14:paraId="79F1C076" w14:textId="77777777">
      <w:pPr>
        <w:rPr>
          <w:kern w:val="2"/>
          <w:lang w:val="en-GB" w:eastAsia="en-GB"/>
          <w14:ligatures w14:val="standardContextual"/>
        </w:rPr>
      </w:pPr>
      <w:r w:rsidRPr="00466D0F">
        <w:rPr>
          <w:lang w:val="en-GB"/>
        </w:rPr>
        <w:t>Activity data shows a mixed but broadly stable picture for the Expert by Experience programme in 2025/26 compared with 2024/25. Residential visits increased from 23 to 25 and supported living visits increased from 65 to 68, while domiciliary care visits reduced slightly from 21 to 20 and other or day care activity reduced from 8 to 2. Overall visits completed were broadly stable, moving from 117 to 115, but follow-up activity reduced significantly from 37 to 18. This suggests that although delivery capacity changed during the year, the reduction in repeat visits may also reflect stronger provider performance following initial feedback and improvement work. The number of individuals engaged reduced from 348 to 309, which should be monitored as the new whole-market people’s experience approach develops.</w:t>
      </w:r>
    </w:p>
    <w:p w:rsidRPr="00466D0F" w:rsidR="003E0DBF" w:rsidP="00F010DE" w:rsidRDefault="003E0DBF" w14:paraId="1DA50D99" w14:textId="77777777">
      <w:pPr>
        <w:rPr>
          <w:rStyle w:val="Heading3Char"/>
          <w:rFonts w:ascii="Calibri" w:hAnsi="Calibri" w:cs="Calibri"/>
          <w:color w:val="auto"/>
          <w:lang w:val="en-GB"/>
        </w:rPr>
      </w:pPr>
    </w:p>
    <w:tbl>
      <w:tblPr>
        <w:tblStyle w:val="TableGrid"/>
        <w:tblW w:w="0" w:type="auto"/>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3750"/>
        <w:gridCol w:w="2325"/>
        <w:gridCol w:w="2490"/>
      </w:tblGrid>
      <w:tr w:rsidRPr="00466D0F" w:rsidR="006C2A4E" w14:paraId="008EC0E1" w14:textId="77777777">
        <w:trPr>
          <w:trHeight w:val="285"/>
        </w:trPr>
        <w:tc>
          <w:tcPr>
            <w:tcW w:w="3750" w:type="dxa"/>
            <w:tcMar>
              <w:left w:w="105" w:type="dxa"/>
              <w:right w:w="105" w:type="dxa"/>
            </w:tcMar>
          </w:tcPr>
          <w:p w:rsidRPr="00466D0F" w:rsidR="006C2A4E" w:rsidP="00F010DE" w:rsidRDefault="006C2A4E" w14:paraId="76116949" w14:textId="77777777">
            <w:pPr>
              <w:rPr>
                <w:rFonts w:cs="Calibri"/>
                <w:lang w:val="en-GB"/>
              </w:rPr>
            </w:pPr>
            <w:r w:rsidRPr="00466D0F">
              <w:rPr>
                <w:rFonts w:cs="Calibri"/>
                <w:lang w:val="en-GB"/>
              </w:rPr>
              <w:t>Service Type breakdown/year</w:t>
            </w:r>
          </w:p>
        </w:tc>
        <w:tc>
          <w:tcPr>
            <w:tcW w:w="2325" w:type="dxa"/>
            <w:tcMar>
              <w:left w:w="105" w:type="dxa"/>
              <w:right w:w="105" w:type="dxa"/>
            </w:tcMar>
          </w:tcPr>
          <w:p w:rsidRPr="00466D0F" w:rsidR="006C2A4E" w:rsidP="00F010DE" w:rsidRDefault="006C2A4E" w14:paraId="15011520" w14:textId="77777777">
            <w:pPr>
              <w:rPr>
                <w:rFonts w:cs="Calibri"/>
                <w:lang w:val="en-GB"/>
              </w:rPr>
            </w:pPr>
            <w:r w:rsidRPr="00466D0F">
              <w:rPr>
                <w:rFonts w:cs="Calibri"/>
                <w:lang w:val="en-GB"/>
              </w:rPr>
              <w:t>2024-25 units</w:t>
            </w:r>
          </w:p>
        </w:tc>
        <w:tc>
          <w:tcPr>
            <w:tcW w:w="2490" w:type="dxa"/>
            <w:tcMar>
              <w:left w:w="105" w:type="dxa"/>
              <w:right w:w="105" w:type="dxa"/>
            </w:tcMar>
          </w:tcPr>
          <w:p w:rsidRPr="00466D0F" w:rsidR="006C2A4E" w:rsidP="00F010DE" w:rsidRDefault="006C2A4E" w14:paraId="65942CFD" w14:textId="77777777">
            <w:pPr>
              <w:rPr>
                <w:rFonts w:cs="Calibri"/>
                <w:lang w:val="en-GB"/>
              </w:rPr>
            </w:pPr>
            <w:r w:rsidRPr="00466D0F">
              <w:rPr>
                <w:rFonts w:cs="Calibri"/>
                <w:lang w:val="en-GB"/>
              </w:rPr>
              <w:t>2025-26 units</w:t>
            </w:r>
          </w:p>
        </w:tc>
      </w:tr>
      <w:tr w:rsidRPr="00466D0F" w:rsidR="006C2A4E" w14:paraId="412C6524" w14:textId="77777777">
        <w:trPr>
          <w:trHeight w:val="285"/>
        </w:trPr>
        <w:tc>
          <w:tcPr>
            <w:tcW w:w="3750" w:type="dxa"/>
            <w:tcMar>
              <w:left w:w="105" w:type="dxa"/>
              <w:right w:w="105" w:type="dxa"/>
            </w:tcMar>
          </w:tcPr>
          <w:p w:rsidRPr="00466D0F" w:rsidR="006C2A4E" w:rsidP="00F010DE" w:rsidRDefault="006C2A4E" w14:paraId="7F8A187A" w14:textId="77777777">
            <w:pPr>
              <w:rPr>
                <w:rFonts w:cs="Calibri"/>
                <w:lang w:val="en-GB"/>
              </w:rPr>
            </w:pPr>
            <w:r w:rsidRPr="00466D0F">
              <w:rPr>
                <w:rFonts w:cs="Calibri"/>
                <w:lang w:val="en-GB"/>
              </w:rPr>
              <w:t>Residential Setting</w:t>
            </w:r>
          </w:p>
        </w:tc>
        <w:tc>
          <w:tcPr>
            <w:tcW w:w="2325" w:type="dxa"/>
            <w:tcMar>
              <w:left w:w="105" w:type="dxa"/>
              <w:right w:w="105" w:type="dxa"/>
            </w:tcMar>
          </w:tcPr>
          <w:p w:rsidRPr="00466D0F" w:rsidR="006C2A4E" w:rsidP="00F010DE" w:rsidRDefault="006C2A4E" w14:paraId="6FDA0EFB" w14:textId="77777777">
            <w:pPr>
              <w:rPr>
                <w:rFonts w:cs="Calibri"/>
                <w:lang w:val="en-GB"/>
              </w:rPr>
            </w:pPr>
            <w:r w:rsidRPr="00466D0F">
              <w:rPr>
                <w:rFonts w:cs="Calibri"/>
                <w:lang w:val="en-GB"/>
              </w:rPr>
              <w:t xml:space="preserve">23 </w:t>
            </w:r>
          </w:p>
        </w:tc>
        <w:tc>
          <w:tcPr>
            <w:tcW w:w="2490" w:type="dxa"/>
            <w:tcMar>
              <w:left w:w="105" w:type="dxa"/>
              <w:right w:w="105" w:type="dxa"/>
            </w:tcMar>
          </w:tcPr>
          <w:p w:rsidRPr="00466D0F" w:rsidR="006C2A4E" w:rsidP="00F010DE" w:rsidRDefault="006C2A4E" w14:paraId="1B7DB8EF" w14:textId="77777777">
            <w:pPr>
              <w:rPr>
                <w:rFonts w:cs="Calibri"/>
                <w:color w:val="00B050"/>
                <w:lang w:val="en-GB"/>
              </w:rPr>
            </w:pPr>
            <w:r w:rsidRPr="00466D0F">
              <w:rPr>
                <w:rFonts w:cs="Calibri"/>
                <w:lang w:val="en-GB"/>
              </w:rPr>
              <w:t>25</w:t>
            </w:r>
            <w:r w:rsidRPr="00466D0F">
              <w:rPr>
                <w:rFonts w:ascii="Arial" w:hAnsi="Arial" w:cs="Arial"/>
                <w:color w:val="00B050"/>
                <w:lang w:val="en-GB"/>
              </w:rPr>
              <w:t>▲</w:t>
            </w:r>
          </w:p>
        </w:tc>
      </w:tr>
      <w:tr w:rsidRPr="00466D0F" w:rsidR="006C2A4E" w14:paraId="24F1EA41" w14:textId="77777777">
        <w:trPr>
          <w:trHeight w:val="285"/>
        </w:trPr>
        <w:tc>
          <w:tcPr>
            <w:tcW w:w="3750" w:type="dxa"/>
            <w:tcMar>
              <w:left w:w="105" w:type="dxa"/>
              <w:right w:w="105" w:type="dxa"/>
            </w:tcMar>
          </w:tcPr>
          <w:p w:rsidRPr="00466D0F" w:rsidR="006C2A4E" w:rsidP="00F010DE" w:rsidRDefault="006C2A4E" w14:paraId="5F30F862" w14:textId="77777777">
            <w:pPr>
              <w:rPr>
                <w:rFonts w:cs="Calibri"/>
                <w:lang w:val="en-GB"/>
              </w:rPr>
            </w:pPr>
            <w:r w:rsidRPr="00466D0F">
              <w:rPr>
                <w:rFonts w:cs="Calibri"/>
                <w:lang w:val="en-GB"/>
              </w:rPr>
              <w:t>Supported Living</w:t>
            </w:r>
          </w:p>
        </w:tc>
        <w:tc>
          <w:tcPr>
            <w:tcW w:w="2325" w:type="dxa"/>
            <w:tcMar>
              <w:left w:w="105" w:type="dxa"/>
              <w:right w:w="105" w:type="dxa"/>
            </w:tcMar>
          </w:tcPr>
          <w:p w:rsidRPr="00466D0F" w:rsidR="006C2A4E" w:rsidP="00F010DE" w:rsidRDefault="006C2A4E" w14:paraId="74B5AD6D" w14:textId="77777777">
            <w:pPr>
              <w:rPr>
                <w:rFonts w:cs="Calibri"/>
                <w:lang w:val="en-GB"/>
              </w:rPr>
            </w:pPr>
            <w:r w:rsidRPr="00466D0F">
              <w:rPr>
                <w:rFonts w:cs="Calibri"/>
                <w:lang w:val="en-GB"/>
              </w:rPr>
              <w:t>65</w:t>
            </w:r>
          </w:p>
        </w:tc>
        <w:tc>
          <w:tcPr>
            <w:tcW w:w="2490" w:type="dxa"/>
            <w:tcMar>
              <w:left w:w="105" w:type="dxa"/>
              <w:right w:w="105" w:type="dxa"/>
            </w:tcMar>
          </w:tcPr>
          <w:p w:rsidRPr="00466D0F" w:rsidR="006C2A4E" w:rsidP="00F010DE" w:rsidRDefault="006C2A4E" w14:paraId="78CB2907" w14:textId="77777777">
            <w:pPr>
              <w:rPr>
                <w:rFonts w:cs="Calibri"/>
                <w:color w:val="00B050"/>
                <w:lang w:val="en-GB"/>
              </w:rPr>
            </w:pPr>
            <w:r w:rsidRPr="00466D0F">
              <w:rPr>
                <w:rFonts w:cs="Calibri"/>
                <w:lang w:val="en-GB"/>
              </w:rPr>
              <w:t xml:space="preserve">68 </w:t>
            </w:r>
            <w:r w:rsidRPr="00466D0F">
              <w:rPr>
                <w:rFonts w:ascii="Arial" w:hAnsi="Arial" w:cs="Arial"/>
                <w:color w:val="00B050"/>
                <w:lang w:val="en-GB"/>
              </w:rPr>
              <w:t>▲</w:t>
            </w:r>
          </w:p>
        </w:tc>
      </w:tr>
      <w:tr w:rsidRPr="00466D0F" w:rsidR="006C2A4E" w14:paraId="0DFC73C1" w14:textId="77777777">
        <w:trPr>
          <w:trHeight w:val="285"/>
        </w:trPr>
        <w:tc>
          <w:tcPr>
            <w:tcW w:w="3750" w:type="dxa"/>
            <w:tcMar>
              <w:left w:w="105" w:type="dxa"/>
              <w:right w:w="105" w:type="dxa"/>
            </w:tcMar>
          </w:tcPr>
          <w:p w:rsidRPr="00466D0F" w:rsidR="006C2A4E" w:rsidP="00F010DE" w:rsidRDefault="006C2A4E" w14:paraId="6FB48B10" w14:textId="77777777">
            <w:pPr>
              <w:rPr>
                <w:rFonts w:cs="Calibri"/>
                <w:lang w:val="en-GB"/>
              </w:rPr>
            </w:pPr>
            <w:r w:rsidRPr="00466D0F">
              <w:rPr>
                <w:rFonts w:cs="Calibri"/>
                <w:lang w:val="en-GB"/>
              </w:rPr>
              <w:t>Domiciliary Care</w:t>
            </w:r>
          </w:p>
        </w:tc>
        <w:tc>
          <w:tcPr>
            <w:tcW w:w="2325" w:type="dxa"/>
            <w:tcMar>
              <w:left w:w="105" w:type="dxa"/>
              <w:right w:w="105" w:type="dxa"/>
            </w:tcMar>
          </w:tcPr>
          <w:p w:rsidRPr="00466D0F" w:rsidR="006C2A4E" w:rsidP="00F010DE" w:rsidRDefault="006C2A4E" w14:paraId="7C47E1A4" w14:textId="77777777">
            <w:pPr>
              <w:rPr>
                <w:rFonts w:cs="Calibri"/>
                <w:lang w:val="en-GB"/>
              </w:rPr>
            </w:pPr>
            <w:r w:rsidRPr="00466D0F">
              <w:rPr>
                <w:rFonts w:cs="Calibri"/>
                <w:lang w:val="en-GB"/>
              </w:rPr>
              <w:t>21</w:t>
            </w:r>
          </w:p>
        </w:tc>
        <w:tc>
          <w:tcPr>
            <w:tcW w:w="2490" w:type="dxa"/>
            <w:tcMar>
              <w:left w:w="105" w:type="dxa"/>
              <w:right w:w="105" w:type="dxa"/>
            </w:tcMar>
          </w:tcPr>
          <w:p w:rsidRPr="00466D0F" w:rsidR="006C2A4E" w:rsidP="00F010DE" w:rsidRDefault="006C2A4E" w14:paraId="6CA84218" w14:textId="77777777">
            <w:pPr>
              <w:rPr>
                <w:rFonts w:cs="Calibri"/>
                <w:color w:val="FFC000"/>
                <w:lang w:val="en-GB"/>
              </w:rPr>
            </w:pPr>
            <w:r w:rsidRPr="00466D0F">
              <w:rPr>
                <w:rFonts w:cs="Calibri"/>
                <w:lang w:val="en-GB"/>
              </w:rPr>
              <w:t xml:space="preserve">20 </w:t>
            </w:r>
            <w:r w:rsidRPr="00466D0F">
              <w:rPr>
                <w:rFonts w:ascii="Arial" w:hAnsi="Arial" w:cs="Arial"/>
                <w:color w:val="FFC000"/>
                <w:lang w:val="en-GB"/>
              </w:rPr>
              <w:t>▼</w:t>
            </w:r>
          </w:p>
        </w:tc>
      </w:tr>
      <w:tr w:rsidRPr="00466D0F" w:rsidR="006C2A4E" w14:paraId="5C138C12" w14:textId="77777777">
        <w:trPr>
          <w:trHeight w:val="285"/>
        </w:trPr>
        <w:tc>
          <w:tcPr>
            <w:tcW w:w="3750" w:type="dxa"/>
            <w:tcMar>
              <w:left w:w="105" w:type="dxa"/>
              <w:right w:w="105" w:type="dxa"/>
            </w:tcMar>
          </w:tcPr>
          <w:p w:rsidRPr="00466D0F" w:rsidR="006C2A4E" w:rsidP="00F010DE" w:rsidRDefault="006C2A4E" w14:paraId="28F16F48" w14:textId="77777777">
            <w:pPr>
              <w:rPr>
                <w:rFonts w:cs="Calibri"/>
                <w:lang w:val="en-GB"/>
              </w:rPr>
            </w:pPr>
            <w:r w:rsidRPr="00466D0F">
              <w:rPr>
                <w:rFonts w:cs="Calibri"/>
                <w:lang w:val="en-GB"/>
              </w:rPr>
              <w:t>Other / Day Care</w:t>
            </w:r>
          </w:p>
        </w:tc>
        <w:tc>
          <w:tcPr>
            <w:tcW w:w="2325" w:type="dxa"/>
            <w:tcMar>
              <w:left w:w="105" w:type="dxa"/>
              <w:right w:w="105" w:type="dxa"/>
            </w:tcMar>
          </w:tcPr>
          <w:p w:rsidRPr="00466D0F" w:rsidR="006C2A4E" w:rsidP="00F010DE" w:rsidRDefault="006C2A4E" w14:paraId="5146F186" w14:textId="77777777">
            <w:pPr>
              <w:rPr>
                <w:rFonts w:cs="Calibri"/>
                <w:lang w:val="en-GB"/>
              </w:rPr>
            </w:pPr>
            <w:r w:rsidRPr="00466D0F">
              <w:rPr>
                <w:rFonts w:cs="Calibri"/>
                <w:lang w:val="en-GB"/>
              </w:rPr>
              <w:t>8</w:t>
            </w:r>
          </w:p>
        </w:tc>
        <w:tc>
          <w:tcPr>
            <w:tcW w:w="2490" w:type="dxa"/>
            <w:tcMar>
              <w:left w:w="105" w:type="dxa"/>
              <w:right w:w="105" w:type="dxa"/>
            </w:tcMar>
          </w:tcPr>
          <w:p w:rsidRPr="00466D0F" w:rsidR="006C2A4E" w:rsidP="00F010DE" w:rsidRDefault="006C2A4E" w14:paraId="29AC8FC0" w14:textId="77777777">
            <w:pPr>
              <w:rPr>
                <w:rFonts w:cs="Calibri"/>
                <w:color w:val="FF0000"/>
                <w:lang w:val="en-GB"/>
              </w:rPr>
            </w:pPr>
            <w:r w:rsidRPr="00466D0F">
              <w:rPr>
                <w:rFonts w:cs="Calibri"/>
                <w:lang w:val="en-GB"/>
              </w:rPr>
              <w:t xml:space="preserve">2 </w:t>
            </w:r>
            <w:r w:rsidRPr="00466D0F">
              <w:rPr>
                <w:rFonts w:ascii="Arial" w:hAnsi="Arial" w:cs="Arial"/>
                <w:color w:val="FF0000"/>
                <w:lang w:val="en-GB"/>
              </w:rPr>
              <w:t>▼</w:t>
            </w:r>
          </w:p>
        </w:tc>
      </w:tr>
      <w:tr w:rsidRPr="00466D0F" w:rsidR="006C2A4E" w14:paraId="32064BB1" w14:textId="77777777">
        <w:trPr>
          <w:trHeight w:val="285"/>
        </w:trPr>
        <w:tc>
          <w:tcPr>
            <w:tcW w:w="3750" w:type="dxa"/>
            <w:tcMar>
              <w:left w:w="105" w:type="dxa"/>
              <w:right w:w="105" w:type="dxa"/>
            </w:tcMar>
          </w:tcPr>
          <w:p w:rsidRPr="00466D0F" w:rsidR="006C2A4E" w:rsidP="00F010DE" w:rsidRDefault="006C2A4E" w14:paraId="74F167C7" w14:textId="77777777">
            <w:pPr>
              <w:rPr>
                <w:rFonts w:cs="Calibri"/>
                <w:lang w:val="en-GB"/>
              </w:rPr>
            </w:pPr>
            <w:r w:rsidRPr="00466D0F">
              <w:rPr>
                <w:rFonts w:cs="Calibri"/>
                <w:lang w:val="en-GB"/>
              </w:rPr>
              <w:t>Visits completed</w:t>
            </w:r>
          </w:p>
        </w:tc>
        <w:tc>
          <w:tcPr>
            <w:tcW w:w="2325" w:type="dxa"/>
            <w:tcMar>
              <w:left w:w="105" w:type="dxa"/>
              <w:right w:w="105" w:type="dxa"/>
            </w:tcMar>
          </w:tcPr>
          <w:p w:rsidRPr="00466D0F" w:rsidR="006C2A4E" w:rsidP="00F010DE" w:rsidRDefault="006C2A4E" w14:paraId="6C2723F1" w14:textId="77777777">
            <w:pPr>
              <w:rPr>
                <w:rFonts w:cs="Calibri"/>
                <w:lang w:val="en-GB"/>
              </w:rPr>
            </w:pPr>
            <w:r w:rsidRPr="00466D0F">
              <w:rPr>
                <w:rFonts w:cs="Calibri"/>
                <w:lang w:val="en-GB"/>
              </w:rPr>
              <w:t>117</w:t>
            </w:r>
          </w:p>
        </w:tc>
        <w:tc>
          <w:tcPr>
            <w:tcW w:w="2490" w:type="dxa"/>
            <w:tcMar>
              <w:left w:w="105" w:type="dxa"/>
              <w:right w:w="105" w:type="dxa"/>
            </w:tcMar>
          </w:tcPr>
          <w:p w:rsidRPr="00466D0F" w:rsidR="006C2A4E" w:rsidP="00F010DE" w:rsidRDefault="006C2A4E" w14:paraId="349ACF0F" w14:textId="77777777">
            <w:pPr>
              <w:rPr>
                <w:rFonts w:cs="Calibri"/>
                <w:color w:val="FFC000"/>
                <w:lang w:val="en-GB"/>
              </w:rPr>
            </w:pPr>
            <w:r w:rsidRPr="00466D0F">
              <w:rPr>
                <w:rFonts w:cs="Calibri"/>
                <w:lang w:val="en-GB"/>
              </w:rPr>
              <w:t xml:space="preserve">115 </w:t>
            </w:r>
            <w:r w:rsidRPr="00466D0F">
              <w:rPr>
                <w:rFonts w:ascii="Arial" w:hAnsi="Arial" w:cs="Arial"/>
                <w:color w:val="FFC000"/>
                <w:lang w:val="en-GB"/>
              </w:rPr>
              <w:t>▼</w:t>
            </w:r>
          </w:p>
        </w:tc>
      </w:tr>
      <w:tr w:rsidRPr="00466D0F" w:rsidR="006C2A4E" w14:paraId="6963A228" w14:textId="77777777">
        <w:trPr>
          <w:trHeight w:val="285"/>
        </w:trPr>
        <w:tc>
          <w:tcPr>
            <w:tcW w:w="3750" w:type="dxa"/>
            <w:tcMar>
              <w:left w:w="105" w:type="dxa"/>
              <w:right w:w="105" w:type="dxa"/>
            </w:tcMar>
          </w:tcPr>
          <w:p w:rsidRPr="00466D0F" w:rsidR="006C2A4E" w:rsidP="00F010DE" w:rsidRDefault="006C2A4E" w14:paraId="36928597" w14:textId="77777777">
            <w:pPr>
              <w:rPr>
                <w:rFonts w:cs="Calibri"/>
                <w:lang w:val="en-GB"/>
              </w:rPr>
            </w:pPr>
            <w:r w:rsidRPr="00466D0F">
              <w:rPr>
                <w:rFonts w:cs="Calibri"/>
                <w:lang w:val="en-GB"/>
              </w:rPr>
              <w:t>Follow up</w:t>
            </w:r>
          </w:p>
        </w:tc>
        <w:tc>
          <w:tcPr>
            <w:tcW w:w="2325" w:type="dxa"/>
            <w:tcMar>
              <w:left w:w="105" w:type="dxa"/>
              <w:right w:w="105" w:type="dxa"/>
            </w:tcMar>
          </w:tcPr>
          <w:p w:rsidRPr="00466D0F" w:rsidR="006C2A4E" w:rsidP="00F010DE" w:rsidRDefault="006C2A4E" w14:paraId="2E1BC5DA" w14:textId="77777777">
            <w:pPr>
              <w:rPr>
                <w:rFonts w:cs="Calibri"/>
                <w:lang w:val="en-GB"/>
              </w:rPr>
            </w:pPr>
            <w:r w:rsidRPr="00466D0F">
              <w:rPr>
                <w:rFonts w:cs="Calibri"/>
                <w:lang w:val="en-GB"/>
              </w:rPr>
              <w:t>37</w:t>
            </w:r>
          </w:p>
        </w:tc>
        <w:tc>
          <w:tcPr>
            <w:tcW w:w="2490" w:type="dxa"/>
            <w:tcMar>
              <w:left w:w="105" w:type="dxa"/>
              <w:right w:w="105" w:type="dxa"/>
            </w:tcMar>
          </w:tcPr>
          <w:p w:rsidRPr="00466D0F" w:rsidR="006C2A4E" w:rsidP="00F010DE" w:rsidRDefault="006C2A4E" w14:paraId="7A82076C" w14:textId="77777777">
            <w:pPr>
              <w:rPr>
                <w:rFonts w:cs="Calibri"/>
                <w:color w:val="FF0000"/>
                <w:lang w:val="en-GB"/>
              </w:rPr>
            </w:pPr>
            <w:r w:rsidRPr="00466D0F">
              <w:rPr>
                <w:rFonts w:cs="Calibri"/>
                <w:lang w:val="en-GB"/>
              </w:rPr>
              <w:t xml:space="preserve">18 </w:t>
            </w:r>
            <w:r w:rsidRPr="00466D0F">
              <w:rPr>
                <w:rFonts w:ascii="Arial" w:hAnsi="Arial" w:cs="Arial"/>
                <w:color w:val="FF0000"/>
                <w:lang w:val="en-GB"/>
              </w:rPr>
              <w:t>▼</w:t>
            </w:r>
          </w:p>
        </w:tc>
      </w:tr>
      <w:tr w:rsidRPr="00466D0F" w:rsidR="006C2A4E" w14:paraId="707E50DB" w14:textId="77777777">
        <w:trPr>
          <w:trHeight w:val="285"/>
        </w:trPr>
        <w:tc>
          <w:tcPr>
            <w:tcW w:w="3750" w:type="dxa"/>
            <w:tcMar>
              <w:left w:w="105" w:type="dxa"/>
              <w:right w:w="105" w:type="dxa"/>
            </w:tcMar>
          </w:tcPr>
          <w:p w:rsidRPr="00466D0F" w:rsidR="006C2A4E" w:rsidP="00F010DE" w:rsidRDefault="006C2A4E" w14:paraId="2E50D656" w14:textId="77777777">
            <w:pPr>
              <w:rPr>
                <w:rFonts w:cs="Calibri"/>
                <w:lang w:val="en-GB"/>
              </w:rPr>
            </w:pPr>
            <w:r w:rsidRPr="00466D0F">
              <w:rPr>
                <w:rFonts w:cs="Calibri"/>
                <w:lang w:val="en-GB"/>
              </w:rPr>
              <w:t>Unit delivery</w:t>
            </w:r>
          </w:p>
        </w:tc>
        <w:tc>
          <w:tcPr>
            <w:tcW w:w="2325" w:type="dxa"/>
            <w:tcMar>
              <w:left w:w="105" w:type="dxa"/>
              <w:right w:w="105" w:type="dxa"/>
            </w:tcMar>
          </w:tcPr>
          <w:p w:rsidRPr="00466D0F" w:rsidR="006C2A4E" w:rsidP="00F010DE" w:rsidRDefault="006C2A4E" w14:paraId="6E3B7A1B" w14:textId="77777777">
            <w:pPr>
              <w:rPr>
                <w:rFonts w:cs="Calibri"/>
                <w:lang w:val="en-GB"/>
              </w:rPr>
            </w:pPr>
            <w:r w:rsidRPr="00466D0F">
              <w:rPr>
                <w:rFonts w:cs="Calibri"/>
                <w:lang w:val="en-GB"/>
              </w:rPr>
              <w:t>3.25 over delivery</w:t>
            </w:r>
          </w:p>
        </w:tc>
        <w:tc>
          <w:tcPr>
            <w:tcW w:w="2490" w:type="dxa"/>
            <w:tcMar>
              <w:left w:w="105" w:type="dxa"/>
              <w:right w:w="105" w:type="dxa"/>
            </w:tcMar>
          </w:tcPr>
          <w:p w:rsidRPr="00466D0F" w:rsidR="006C2A4E" w:rsidP="00F010DE" w:rsidRDefault="006C2A4E" w14:paraId="7AC847FB" w14:textId="77777777">
            <w:pPr>
              <w:rPr>
                <w:rFonts w:cs="Calibri"/>
                <w:color w:val="FF0000"/>
                <w:lang w:val="en-GB"/>
              </w:rPr>
            </w:pPr>
            <w:r w:rsidRPr="00466D0F">
              <w:rPr>
                <w:rFonts w:cs="Calibri"/>
                <w:lang w:val="en-GB"/>
              </w:rPr>
              <w:t xml:space="preserve">11 under delivery </w:t>
            </w:r>
            <w:r w:rsidRPr="00466D0F">
              <w:rPr>
                <w:rFonts w:ascii="Arial" w:hAnsi="Arial" w:cs="Arial"/>
                <w:color w:val="FF0000"/>
                <w:lang w:val="en-GB"/>
              </w:rPr>
              <w:t>▼</w:t>
            </w:r>
          </w:p>
        </w:tc>
      </w:tr>
      <w:tr w:rsidRPr="00466D0F" w:rsidR="006C2A4E" w14:paraId="29B1ECC1" w14:textId="77777777">
        <w:trPr>
          <w:trHeight w:val="285"/>
        </w:trPr>
        <w:tc>
          <w:tcPr>
            <w:tcW w:w="3750" w:type="dxa"/>
            <w:tcMar>
              <w:left w:w="105" w:type="dxa"/>
              <w:right w:w="105" w:type="dxa"/>
            </w:tcMar>
          </w:tcPr>
          <w:p w:rsidRPr="00466D0F" w:rsidR="006C2A4E" w:rsidP="00F010DE" w:rsidRDefault="006C2A4E" w14:paraId="38F0D852" w14:textId="77777777">
            <w:pPr>
              <w:rPr>
                <w:rFonts w:cs="Calibri"/>
                <w:lang w:val="en-GB"/>
              </w:rPr>
            </w:pPr>
            <w:r w:rsidRPr="00466D0F">
              <w:rPr>
                <w:rFonts w:cs="Calibri"/>
                <w:lang w:val="en-GB"/>
              </w:rPr>
              <w:t>No of individuals</w:t>
            </w:r>
          </w:p>
        </w:tc>
        <w:tc>
          <w:tcPr>
            <w:tcW w:w="2325" w:type="dxa"/>
            <w:tcMar>
              <w:left w:w="105" w:type="dxa"/>
              <w:right w:w="105" w:type="dxa"/>
            </w:tcMar>
          </w:tcPr>
          <w:p w:rsidRPr="00466D0F" w:rsidR="006C2A4E" w:rsidP="00F010DE" w:rsidRDefault="006C2A4E" w14:paraId="0AA797E3" w14:textId="77777777">
            <w:pPr>
              <w:rPr>
                <w:rFonts w:cs="Calibri"/>
                <w:lang w:val="en-GB"/>
              </w:rPr>
            </w:pPr>
            <w:r w:rsidRPr="00466D0F">
              <w:rPr>
                <w:rFonts w:cs="Calibri"/>
                <w:lang w:val="en-GB"/>
              </w:rPr>
              <w:t>348</w:t>
            </w:r>
          </w:p>
        </w:tc>
        <w:tc>
          <w:tcPr>
            <w:tcW w:w="2490" w:type="dxa"/>
            <w:tcMar>
              <w:left w:w="105" w:type="dxa"/>
              <w:right w:w="105" w:type="dxa"/>
            </w:tcMar>
          </w:tcPr>
          <w:p w:rsidRPr="00466D0F" w:rsidR="006C2A4E" w:rsidP="00F010DE" w:rsidRDefault="006C2A4E" w14:paraId="5A7A87A0" w14:textId="77777777">
            <w:pPr>
              <w:rPr>
                <w:rFonts w:cs="Calibri"/>
                <w:color w:val="FF0000"/>
                <w:lang w:val="en-GB"/>
              </w:rPr>
            </w:pPr>
            <w:r w:rsidRPr="00466D0F">
              <w:rPr>
                <w:rFonts w:cs="Calibri"/>
                <w:lang w:val="en-GB"/>
              </w:rPr>
              <w:t xml:space="preserve">309 </w:t>
            </w:r>
            <w:r w:rsidRPr="00466D0F">
              <w:rPr>
                <w:rFonts w:ascii="Arial" w:hAnsi="Arial" w:cs="Arial"/>
                <w:color w:val="FF0000"/>
                <w:lang w:val="en-GB"/>
              </w:rPr>
              <w:t>▼</w:t>
            </w:r>
          </w:p>
        </w:tc>
      </w:tr>
    </w:tbl>
    <w:p w:rsidRPr="00466D0F" w:rsidR="007C5067" w:rsidP="00F010DE" w:rsidRDefault="007C5067" w14:paraId="4CE8CCA8" w14:textId="77777777">
      <w:pPr>
        <w:rPr>
          <w:rStyle w:val="Heading3Char"/>
          <w:rFonts w:ascii="Calibri" w:hAnsi="Calibri" w:cs="Calibri"/>
          <w:color w:val="auto"/>
          <w:lang w:val="en-GB"/>
        </w:rPr>
      </w:pPr>
    </w:p>
    <w:p w:rsidRPr="00466D0F" w:rsidR="00581F6C" w:rsidRDefault="00581F6C" w14:paraId="62BC63E0" w14:textId="77777777">
      <w:pPr>
        <w:rPr>
          <w:kern w:val="2"/>
          <w:lang w:val="en-GB" w:eastAsia="en-GB"/>
          <w14:ligatures w14:val="standardContextual"/>
        </w:rPr>
      </w:pPr>
      <w:r w:rsidRPr="00466D0F">
        <w:rPr>
          <w:rStyle w:val="Heading3Char"/>
          <w:rFonts w:ascii="Calibri" w:hAnsi="Calibri"/>
          <w:color w:val="auto"/>
          <w:lang w:val="en-GB"/>
        </w:rPr>
        <w:t>Provider ratings following Expert by Experience visits show an overall positive trend, with more services achieving stronger ratings after engagement. This appears to reflect a combination of factors, including visits to lower-risk services and the cumulative effect of earlier improvement work. However, the evidence also shows that the “I am safe” domain remains the weakest area, with the highest volume of actions and the clearest indication of continuing inconsistency in safety, safeguarding practice and provider assurance. This reinforces the need to maintain a strong focus on safety within quality improvement activity.</w:t>
      </w:r>
    </w:p>
    <w:p w:rsidRPr="00466D0F" w:rsidR="006C2A4E" w:rsidP="00F010DE" w:rsidRDefault="006C2A4E" w14:paraId="66681B4C" w14:textId="77777777">
      <w:pPr>
        <w:rPr>
          <w:rFonts w:cs="Calibri"/>
          <w:lang w:val="en-GB"/>
        </w:rPr>
      </w:pPr>
    </w:p>
    <w:p w:rsidRPr="00466D0F" w:rsidR="00366BBB" w:rsidRDefault="00366BBB" w14:paraId="52EF6102" w14:textId="77777777">
      <w:pPr>
        <w:rPr>
          <w:kern w:val="2"/>
          <w:lang w:val="en-GB" w:eastAsia="en-GB"/>
          <w14:ligatures w14:val="standardContextual"/>
        </w:rPr>
      </w:pPr>
      <w:r w:rsidRPr="00466D0F">
        <w:rPr>
          <w:lang w:val="en-GB"/>
        </w:rPr>
        <w:t>Themes identified through Expert by Experience visits as requiring action, as reported in the Inclusion Gloucestershire Annual Report 2025-26, included activities, documentation such as appointments and ReSPECT plans, staff approach, training and support, hate crime, relationships, and complaints handling.</w:t>
      </w:r>
    </w:p>
    <w:p w:rsidRPr="00466D0F" w:rsidR="00E32F76" w:rsidP="00F010DE" w:rsidRDefault="00E32F76" w14:paraId="62C79FE4" w14:textId="77777777">
      <w:pPr>
        <w:rPr>
          <w:rStyle w:val="Heading3Char"/>
          <w:rFonts w:ascii="Calibri" w:hAnsi="Calibri" w:cs="Calibri"/>
          <w:color w:val="auto"/>
          <w:lang w:val="en-GB"/>
        </w:rPr>
      </w:pPr>
    </w:p>
    <w:p w:rsidRPr="00466D0F" w:rsidR="00D5117C" w:rsidP="001C7685" w:rsidRDefault="00D5117C" w14:paraId="05E7BF59" w14:textId="26A47DBE">
      <w:pPr>
        <w:pStyle w:val="Heading2"/>
      </w:pPr>
      <w:bookmarkStart w:name="_Toc231656188" w:id="25"/>
      <w:r w:rsidRPr="00466D0F">
        <w:t>ASC Quality Activity</w:t>
      </w:r>
      <w:bookmarkEnd w:id="25"/>
    </w:p>
    <w:p w:rsidRPr="00466D0F" w:rsidR="00694425" w:rsidP="00D5117C" w:rsidRDefault="00694425" w14:paraId="43593CDD" w14:textId="48E14A2F">
      <w:pPr>
        <w:rPr>
          <w:rStyle w:val="Heading3Char"/>
          <w:rFonts w:ascii="Calibri" w:hAnsi="Calibri" w:cs="Calibri"/>
          <w:color w:val="auto"/>
          <w:lang w:val="en-GB"/>
        </w:rPr>
      </w:pPr>
      <w:r w:rsidRPr="00466D0F">
        <w:rPr>
          <w:rStyle w:val="Heading3Char"/>
          <w:rFonts w:ascii="Calibri" w:hAnsi="Calibri" w:cs="Calibri"/>
          <w:color w:val="auto"/>
          <w:lang w:val="en-GB"/>
        </w:rPr>
        <w:t xml:space="preserve">The new ASC quality team </w:t>
      </w:r>
      <w:r w:rsidRPr="00466D0F" w:rsidR="00A13430">
        <w:rPr>
          <w:rStyle w:val="Heading3Char"/>
          <w:rFonts w:ascii="Calibri" w:hAnsi="Calibri" w:cs="Calibri"/>
          <w:color w:val="auto"/>
          <w:lang w:val="en-GB"/>
        </w:rPr>
        <w:t>formed</w:t>
      </w:r>
      <w:r w:rsidRPr="00466D0F" w:rsidR="00CA59B8">
        <w:rPr>
          <w:rStyle w:val="Heading3Char"/>
          <w:rFonts w:ascii="Calibri" w:hAnsi="Calibri" w:cs="Calibri"/>
          <w:color w:val="auto"/>
          <w:lang w:val="en-GB"/>
        </w:rPr>
        <w:t xml:space="preserve"> in September 2025. </w:t>
      </w:r>
      <w:r w:rsidRPr="00466D0F">
        <w:rPr>
          <w:rStyle w:val="Heading3Char"/>
          <w:rFonts w:ascii="Calibri" w:hAnsi="Calibri" w:cs="Calibri"/>
          <w:color w:val="auto"/>
          <w:lang w:val="en-GB"/>
        </w:rPr>
        <w:t>Over the year, the team have engaged with the provider market through feedback surveys, QAF pilot and provider events. Overall, provider feedback has been positive. Of those who have been assessed and responded to the feedback survey, over 85% rated their assessment experience as good or excellent, and under 7% rated as poor. Usability of the PAMMS portal was reported as the main issue, and guidance is being reviewed to support usage. The pilot provider group engaged well in the QAF self-assessment pilot and helped shape the new QAF.</w:t>
      </w:r>
    </w:p>
    <w:p w:rsidRPr="00466D0F" w:rsidR="00021068" w:rsidP="00F010DE" w:rsidRDefault="001A7FBF" w14:paraId="137C73B0" w14:textId="1D66298B">
      <w:pPr>
        <w:rPr>
          <w:rStyle w:val="Heading3Char"/>
          <w:rFonts w:ascii="Calibri" w:hAnsi="Calibri" w:cs="Calibri"/>
          <w:color w:val="auto"/>
          <w:lang w:val="en-GB"/>
        </w:rPr>
      </w:pPr>
      <w:r w:rsidRPr="00466D0F">
        <w:rPr>
          <w:rStyle w:val="Heading3Char"/>
          <w:rFonts w:ascii="Calibri" w:hAnsi="Calibri" w:cs="Calibri"/>
          <w:color w:val="auto"/>
          <w:lang w:val="en-GB"/>
        </w:rPr>
        <w:t>The</w:t>
      </w:r>
      <w:r w:rsidRPr="00466D0F" w:rsidR="3E9BD986">
        <w:rPr>
          <w:rStyle w:val="Heading3Char"/>
          <w:rFonts w:ascii="Calibri" w:hAnsi="Calibri" w:cs="Calibri"/>
          <w:color w:val="auto"/>
          <w:lang w:val="en-GB"/>
        </w:rPr>
        <w:t xml:space="preserve"> first </w:t>
      </w:r>
      <w:r w:rsidRPr="00466D0F" w:rsidR="00BF2D5C">
        <w:rPr>
          <w:rStyle w:val="Heading3Char"/>
          <w:rFonts w:ascii="Calibri" w:hAnsi="Calibri" w:cs="Calibri"/>
          <w:color w:val="auto"/>
          <w:lang w:val="en-GB"/>
        </w:rPr>
        <w:t xml:space="preserve">formal </w:t>
      </w:r>
      <w:r w:rsidRPr="00466D0F" w:rsidR="3E9BD986">
        <w:rPr>
          <w:rStyle w:val="Heading3Char"/>
          <w:rFonts w:ascii="Calibri" w:hAnsi="Calibri" w:cs="Calibri"/>
          <w:color w:val="auto"/>
          <w:lang w:val="en-GB"/>
        </w:rPr>
        <w:t xml:space="preserve">campaign </w:t>
      </w:r>
      <w:r w:rsidRPr="00466D0F" w:rsidR="00982DA7">
        <w:rPr>
          <w:rStyle w:val="Heading3Char"/>
          <w:rFonts w:ascii="Calibri" w:hAnsi="Calibri" w:cs="Calibri"/>
          <w:color w:val="auto"/>
          <w:lang w:val="en-GB"/>
        </w:rPr>
        <w:t xml:space="preserve">of the </w:t>
      </w:r>
      <w:r w:rsidRPr="00466D0F" w:rsidR="3E9BD986">
        <w:rPr>
          <w:rStyle w:val="Heading3Char"/>
          <w:rFonts w:ascii="Calibri" w:hAnsi="Calibri" w:cs="Calibri"/>
          <w:color w:val="auto"/>
          <w:lang w:val="en-GB"/>
        </w:rPr>
        <w:t>quarterly self-assessment was distributed to 72% of the market in April 2026</w:t>
      </w:r>
      <w:r w:rsidRPr="00466D0F" w:rsidR="00917E11">
        <w:rPr>
          <w:rStyle w:val="Heading3Char"/>
          <w:rFonts w:ascii="Calibri" w:hAnsi="Calibri" w:cs="Calibri"/>
          <w:color w:val="auto"/>
          <w:lang w:val="en-GB"/>
        </w:rPr>
        <w:t xml:space="preserve"> to collect Q4 </w:t>
      </w:r>
      <w:r w:rsidRPr="00466D0F" w:rsidR="00DC5F05">
        <w:rPr>
          <w:rStyle w:val="Heading3Char"/>
          <w:rFonts w:ascii="Calibri" w:hAnsi="Calibri" w:cs="Calibri"/>
          <w:color w:val="auto"/>
          <w:lang w:val="en-GB"/>
        </w:rPr>
        <w:t>25/26 data</w:t>
      </w:r>
      <w:r w:rsidRPr="00466D0F" w:rsidR="3E9BD986">
        <w:rPr>
          <w:rStyle w:val="Heading3Char"/>
          <w:rFonts w:ascii="Calibri" w:hAnsi="Calibri" w:cs="Calibri"/>
          <w:color w:val="auto"/>
          <w:lang w:val="en-GB"/>
        </w:rPr>
        <w:t xml:space="preserve">. Analysis of the data will provide significant provider and market level </w:t>
      </w:r>
      <w:r w:rsidRPr="00466D0F" w:rsidR="00BF2D5C">
        <w:rPr>
          <w:rStyle w:val="Heading3Char"/>
          <w:rFonts w:ascii="Calibri" w:hAnsi="Calibri" w:cs="Calibri"/>
          <w:color w:val="auto"/>
          <w:lang w:val="en-GB"/>
        </w:rPr>
        <w:t>intelligence</w:t>
      </w:r>
      <w:r w:rsidRPr="00466D0F" w:rsidR="3E9BD986">
        <w:rPr>
          <w:rStyle w:val="Heading3Char"/>
          <w:rFonts w:ascii="Calibri" w:hAnsi="Calibri" w:cs="Calibri"/>
          <w:color w:val="auto"/>
          <w:lang w:val="en-GB"/>
        </w:rPr>
        <w:t xml:space="preserve">. The </w:t>
      </w:r>
      <w:r w:rsidRPr="00466D0F" w:rsidR="005C24CA">
        <w:rPr>
          <w:rStyle w:val="Heading3Char"/>
          <w:rFonts w:ascii="Calibri" w:hAnsi="Calibri" w:cs="Calibri"/>
          <w:color w:val="auto"/>
          <w:lang w:val="en-GB"/>
        </w:rPr>
        <w:t>comprehensive</w:t>
      </w:r>
      <w:r w:rsidRPr="00466D0F" w:rsidR="3E9BD986">
        <w:rPr>
          <w:rStyle w:val="Heading3Char"/>
          <w:rFonts w:ascii="Calibri" w:hAnsi="Calibri" w:cs="Calibri"/>
          <w:color w:val="auto"/>
          <w:lang w:val="en-GB"/>
        </w:rPr>
        <w:t xml:space="preserve"> self-assessment pilot is in progress</w:t>
      </w:r>
      <w:r w:rsidRPr="00466D0F" w:rsidR="00B35E42">
        <w:rPr>
          <w:rStyle w:val="Heading3Char"/>
          <w:rFonts w:ascii="Calibri" w:hAnsi="Calibri" w:cs="Calibri"/>
          <w:color w:val="auto"/>
          <w:lang w:val="en-GB"/>
        </w:rPr>
        <w:t>,</w:t>
      </w:r>
      <w:r w:rsidRPr="00466D0F" w:rsidR="005C24CA">
        <w:rPr>
          <w:rStyle w:val="Heading3Char"/>
          <w:rFonts w:ascii="Calibri" w:hAnsi="Calibri" w:cs="Calibri"/>
          <w:color w:val="auto"/>
          <w:lang w:val="en-GB"/>
        </w:rPr>
        <w:t xml:space="preserve"> </w:t>
      </w:r>
      <w:r w:rsidRPr="00466D0F" w:rsidR="00170441">
        <w:rPr>
          <w:rStyle w:val="Heading3Char"/>
          <w:rFonts w:ascii="Calibri" w:hAnsi="Calibri" w:cs="Calibri"/>
          <w:color w:val="auto"/>
          <w:lang w:val="en-GB"/>
        </w:rPr>
        <w:t xml:space="preserve">with the early adopter group </w:t>
      </w:r>
      <w:r w:rsidRPr="00466D0F" w:rsidR="004D3D67">
        <w:rPr>
          <w:rStyle w:val="Heading3Char"/>
          <w:rFonts w:ascii="Calibri" w:hAnsi="Calibri" w:cs="Calibri"/>
          <w:color w:val="auto"/>
          <w:lang w:val="en-GB"/>
        </w:rPr>
        <w:t xml:space="preserve">currently going through the </w:t>
      </w:r>
      <w:r w:rsidRPr="00466D0F" w:rsidR="00B35E42">
        <w:rPr>
          <w:rStyle w:val="Heading3Char"/>
          <w:rFonts w:ascii="Calibri" w:hAnsi="Calibri" w:cs="Calibri"/>
          <w:color w:val="auto"/>
          <w:lang w:val="en-GB"/>
        </w:rPr>
        <w:t>process.</w:t>
      </w:r>
      <w:r w:rsidRPr="00466D0F" w:rsidR="3E9BD986">
        <w:rPr>
          <w:rStyle w:val="Heading3Char"/>
          <w:rFonts w:ascii="Calibri" w:hAnsi="Calibri" w:cs="Calibri"/>
          <w:color w:val="auto"/>
          <w:lang w:val="en-GB"/>
        </w:rPr>
        <w:t xml:space="preserve"> It is </w:t>
      </w:r>
      <w:r w:rsidRPr="00466D0F" w:rsidR="004D3D67">
        <w:rPr>
          <w:rStyle w:val="Heading3Char"/>
          <w:rFonts w:ascii="Calibri" w:hAnsi="Calibri" w:cs="Calibri"/>
          <w:color w:val="auto"/>
          <w:lang w:val="en-GB"/>
        </w:rPr>
        <w:t>anticipated this</w:t>
      </w:r>
      <w:r w:rsidRPr="00466D0F" w:rsidR="00621441">
        <w:rPr>
          <w:rStyle w:val="Heading3Char"/>
          <w:rFonts w:ascii="Calibri" w:hAnsi="Calibri" w:cs="Calibri"/>
          <w:color w:val="auto"/>
          <w:lang w:val="en-GB"/>
        </w:rPr>
        <w:t xml:space="preserve"> part of the approach </w:t>
      </w:r>
      <w:r w:rsidRPr="00466D0F" w:rsidR="3E9BD986">
        <w:rPr>
          <w:rStyle w:val="Heading3Char"/>
          <w:rFonts w:ascii="Calibri" w:hAnsi="Calibri" w:cs="Calibri"/>
          <w:color w:val="auto"/>
          <w:lang w:val="en-GB"/>
        </w:rPr>
        <w:t xml:space="preserve">will </w:t>
      </w:r>
      <w:r w:rsidRPr="00466D0F" w:rsidR="00621441">
        <w:rPr>
          <w:rStyle w:val="Heading3Char"/>
          <w:rFonts w:ascii="Calibri" w:hAnsi="Calibri" w:cs="Calibri"/>
          <w:color w:val="auto"/>
          <w:lang w:val="en-GB"/>
        </w:rPr>
        <w:t>be business as usual by</w:t>
      </w:r>
      <w:r w:rsidRPr="00466D0F" w:rsidR="3E9BD986">
        <w:rPr>
          <w:rStyle w:val="Heading3Char"/>
          <w:rFonts w:ascii="Calibri" w:hAnsi="Calibri" w:cs="Calibri"/>
          <w:color w:val="auto"/>
          <w:lang w:val="en-GB"/>
        </w:rPr>
        <w:t xml:space="preserve"> Summer 2026. </w:t>
      </w:r>
    </w:p>
    <w:p w:rsidRPr="00466D0F" w:rsidR="00312F17" w:rsidP="00F010DE" w:rsidRDefault="00312F17" w14:paraId="494204A5" w14:textId="77777777">
      <w:pPr>
        <w:rPr>
          <w:rStyle w:val="Heading3Char"/>
          <w:rFonts w:ascii="Calibri" w:hAnsi="Calibri" w:cs="Calibri"/>
          <w:color w:val="auto"/>
          <w:lang w:val="en-GB"/>
        </w:rPr>
      </w:pPr>
    </w:p>
    <w:p w:rsidRPr="00466D0F" w:rsidR="00CF272F" w:rsidRDefault="00CF272F" w14:paraId="689646C0" w14:textId="77777777">
      <w:pPr>
        <w:rPr>
          <w:kern w:val="2"/>
          <w:lang w:val="en-GB" w:eastAsia="en-GB"/>
          <w14:ligatures w14:val="standardContextual"/>
        </w:rPr>
      </w:pPr>
      <w:r w:rsidRPr="00466D0F">
        <w:rPr>
          <w:rStyle w:val="Heading3Char"/>
          <w:rFonts w:ascii="Calibri" w:hAnsi="Calibri"/>
          <w:color w:val="auto"/>
          <w:lang w:val="en-GB"/>
        </w:rPr>
        <w:t>While the QAF development and implementation project has been underway, the Quality Team has continued to maintain a balance between quality assurance and quality improvement. A focused assessment approach has been adopted to target risk and increase presence across services. Assessments have concentrated on two to three standards, based on known intelligence. This approach has enabled the team to reach 21% of the market since September 2025. Assessment numbers have risen over time as the new team and approach have become embedded. On the basis of current progress and capacity, it is anticipated that assessment of the whole market will take approximately 18 months.</w:t>
      </w:r>
    </w:p>
    <w:p w:rsidRPr="00466D0F" w:rsidR="00646B1F" w:rsidP="00F010DE" w:rsidRDefault="00646B1F" w14:paraId="500342D6" w14:textId="716CE80B">
      <w:pPr>
        <w:rPr>
          <w:rFonts w:cs="Calibri"/>
          <w:lang w:val="en-GB"/>
        </w:rPr>
      </w:pPr>
    </w:p>
    <w:p w:rsidR="00C71553" w:rsidP="001C7685" w:rsidRDefault="00C71553" w14:paraId="5DB96E96" w14:textId="77777777">
      <w:pPr>
        <w:pStyle w:val="Heading2"/>
      </w:pPr>
      <w:bookmarkStart w:name="_Toc231656189" w:id="26"/>
      <w:r w:rsidRPr="00466D0F">
        <w:t>Quality Assurance Framework Domains</w:t>
      </w:r>
      <w:bookmarkEnd w:id="26"/>
    </w:p>
    <w:p w:rsidRPr="00BC5821" w:rsidR="00BC5821" w:rsidP="00BC5821" w:rsidRDefault="00BC5821" w14:paraId="2CFABDDD" w14:textId="77777777">
      <w:pPr>
        <w:rPr>
          <w:lang w:val="en-GB"/>
        </w:rPr>
      </w:pPr>
    </w:p>
    <w:tbl>
      <w:tblPr>
        <w:tblStyle w:val="GridTable5Dark-Accent1"/>
        <w:tblW w:w="9639" w:type="dxa"/>
        <w:tblInd w:w="-5" w:type="dxa"/>
        <w:tblLook w:val="0420" w:firstRow="1" w:lastRow="0" w:firstColumn="0" w:lastColumn="0" w:noHBand="0" w:noVBand="1"/>
      </w:tblPr>
      <w:tblGrid>
        <w:gridCol w:w="1701"/>
        <w:gridCol w:w="1985"/>
        <w:gridCol w:w="2121"/>
        <w:gridCol w:w="1984"/>
        <w:gridCol w:w="1848"/>
      </w:tblGrid>
      <w:tr w:rsidRPr="00466D0F" w:rsidR="006C2A4E" w14:paraId="60F68ECF" w14:textId="77777777">
        <w:trPr>
          <w:cnfStyle w:val="100000000000" w:firstRow="1" w:lastRow="0" w:firstColumn="0" w:lastColumn="0" w:oddVBand="0" w:evenVBand="0" w:oddHBand="0" w:evenHBand="0" w:firstRowFirstColumn="0" w:firstRowLastColumn="0" w:lastRowFirstColumn="0" w:lastRowLastColumn="0"/>
          <w:trHeight w:val="750"/>
        </w:trPr>
        <w:tc>
          <w:tcPr>
            <w:tcW w:w="1701" w:type="dxa"/>
            <w:hideMark/>
          </w:tcPr>
          <w:p w:rsidRPr="00466D0F" w:rsidR="006C2A4E" w:rsidP="00F010DE" w:rsidRDefault="006C2A4E" w14:paraId="11CC9464" w14:textId="77777777">
            <w:pPr>
              <w:rPr>
                <w:rFonts w:cs="Calibri"/>
                <w:sz w:val="22"/>
                <w:szCs w:val="22"/>
                <w:lang w:val="en-GB"/>
              </w:rPr>
            </w:pPr>
            <w:r w:rsidRPr="00466D0F">
              <w:rPr>
                <w:rFonts w:cs="Calibri"/>
                <w:sz w:val="22"/>
                <w:szCs w:val="22"/>
                <w:lang w:val="en-GB"/>
              </w:rPr>
              <w:t>Domain 1:</w:t>
            </w:r>
          </w:p>
          <w:p w:rsidRPr="00466D0F" w:rsidR="006C2A4E" w:rsidP="00F010DE" w:rsidRDefault="006C2A4E" w14:paraId="706589FB" w14:textId="77777777">
            <w:pPr>
              <w:rPr>
                <w:rFonts w:cs="Calibri"/>
                <w:sz w:val="22"/>
                <w:szCs w:val="22"/>
                <w:lang w:val="en-GB"/>
              </w:rPr>
            </w:pPr>
            <w:r w:rsidRPr="00466D0F">
              <w:rPr>
                <w:rFonts w:cs="Calibri"/>
                <w:sz w:val="22"/>
                <w:szCs w:val="22"/>
                <w:lang w:val="en-GB"/>
              </w:rPr>
              <w:t>Involvement &amp; Information</w:t>
            </w:r>
          </w:p>
        </w:tc>
        <w:tc>
          <w:tcPr>
            <w:tcW w:w="1985" w:type="dxa"/>
            <w:hideMark/>
          </w:tcPr>
          <w:p w:rsidRPr="00466D0F" w:rsidR="006C2A4E" w:rsidP="00F010DE" w:rsidRDefault="006C2A4E" w14:paraId="026B513B" w14:textId="77777777">
            <w:pPr>
              <w:rPr>
                <w:rFonts w:cs="Calibri"/>
                <w:sz w:val="22"/>
                <w:szCs w:val="22"/>
                <w:lang w:val="en-GB"/>
              </w:rPr>
            </w:pPr>
            <w:r w:rsidRPr="00466D0F">
              <w:rPr>
                <w:rFonts w:cs="Calibri"/>
                <w:sz w:val="22"/>
                <w:szCs w:val="22"/>
                <w:lang w:val="en-GB"/>
              </w:rPr>
              <w:t xml:space="preserve">Domain 2: </w:t>
            </w:r>
          </w:p>
          <w:p w:rsidRPr="00466D0F" w:rsidR="006C2A4E" w:rsidP="00F010DE" w:rsidRDefault="006C2A4E" w14:paraId="6A17FF66" w14:textId="77777777">
            <w:pPr>
              <w:rPr>
                <w:rFonts w:cs="Calibri"/>
                <w:sz w:val="22"/>
                <w:szCs w:val="22"/>
                <w:lang w:val="en-GB"/>
              </w:rPr>
            </w:pPr>
            <w:r w:rsidRPr="00466D0F">
              <w:rPr>
                <w:rFonts w:cs="Calibri"/>
                <w:sz w:val="22"/>
                <w:szCs w:val="22"/>
                <w:lang w:val="en-GB"/>
              </w:rPr>
              <w:t>Personalised Care &amp; Support</w:t>
            </w:r>
          </w:p>
        </w:tc>
        <w:tc>
          <w:tcPr>
            <w:tcW w:w="2121" w:type="dxa"/>
            <w:hideMark/>
          </w:tcPr>
          <w:p w:rsidRPr="00466D0F" w:rsidR="006C2A4E" w:rsidP="00F010DE" w:rsidRDefault="006C2A4E" w14:paraId="35ADEA63" w14:textId="77777777">
            <w:pPr>
              <w:rPr>
                <w:rFonts w:cs="Calibri"/>
                <w:sz w:val="22"/>
                <w:szCs w:val="22"/>
                <w:lang w:val="en-GB"/>
              </w:rPr>
            </w:pPr>
            <w:r w:rsidRPr="00466D0F">
              <w:rPr>
                <w:rFonts w:cs="Calibri"/>
                <w:sz w:val="22"/>
                <w:szCs w:val="22"/>
                <w:lang w:val="en-GB"/>
              </w:rPr>
              <w:t xml:space="preserve">Domain 3: </w:t>
            </w:r>
          </w:p>
          <w:p w:rsidRPr="00466D0F" w:rsidR="006C2A4E" w:rsidP="00F010DE" w:rsidRDefault="006C2A4E" w14:paraId="6C05ABE2" w14:textId="77777777">
            <w:pPr>
              <w:rPr>
                <w:rFonts w:cs="Calibri"/>
                <w:sz w:val="22"/>
                <w:szCs w:val="22"/>
                <w:lang w:val="en-GB"/>
              </w:rPr>
            </w:pPr>
            <w:r w:rsidRPr="00466D0F">
              <w:rPr>
                <w:rFonts w:cs="Calibri"/>
                <w:sz w:val="22"/>
                <w:szCs w:val="22"/>
                <w:lang w:val="en-GB"/>
              </w:rPr>
              <w:t>Safeguarding &amp; Safety</w:t>
            </w:r>
          </w:p>
        </w:tc>
        <w:tc>
          <w:tcPr>
            <w:tcW w:w="1984" w:type="dxa"/>
            <w:hideMark/>
          </w:tcPr>
          <w:p w:rsidRPr="00466D0F" w:rsidR="006C2A4E" w:rsidP="00F010DE" w:rsidRDefault="006C2A4E" w14:paraId="309FE7BA" w14:textId="77777777">
            <w:pPr>
              <w:rPr>
                <w:rFonts w:cs="Calibri"/>
                <w:sz w:val="22"/>
                <w:szCs w:val="22"/>
                <w:lang w:val="en-GB"/>
              </w:rPr>
            </w:pPr>
            <w:r w:rsidRPr="00466D0F">
              <w:rPr>
                <w:rFonts w:cs="Calibri"/>
                <w:sz w:val="22"/>
                <w:szCs w:val="22"/>
                <w:lang w:val="en-GB"/>
              </w:rPr>
              <w:t>Domain 4:</w:t>
            </w:r>
          </w:p>
          <w:p w:rsidRPr="00466D0F" w:rsidR="006C2A4E" w:rsidP="00F010DE" w:rsidRDefault="006C2A4E" w14:paraId="01899055" w14:textId="77777777">
            <w:pPr>
              <w:rPr>
                <w:rFonts w:cs="Calibri"/>
                <w:sz w:val="22"/>
                <w:szCs w:val="22"/>
                <w:lang w:val="en-GB"/>
              </w:rPr>
            </w:pPr>
            <w:r w:rsidRPr="00466D0F">
              <w:rPr>
                <w:rFonts w:cs="Calibri"/>
                <w:sz w:val="22"/>
                <w:szCs w:val="22"/>
                <w:lang w:val="en-GB"/>
              </w:rPr>
              <w:t>Suitability of Staffing</w:t>
            </w:r>
          </w:p>
        </w:tc>
        <w:tc>
          <w:tcPr>
            <w:tcW w:w="1848" w:type="dxa"/>
            <w:hideMark/>
          </w:tcPr>
          <w:p w:rsidRPr="00466D0F" w:rsidR="006C2A4E" w:rsidP="00F010DE" w:rsidRDefault="006C2A4E" w14:paraId="1572C47B" w14:textId="77777777">
            <w:pPr>
              <w:rPr>
                <w:rFonts w:cs="Calibri"/>
                <w:sz w:val="22"/>
                <w:szCs w:val="22"/>
                <w:lang w:val="en-GB"/>
              </w:rPr>
            </w:pPr>
            <w:r w:rsidRPr="00466D0F">
              <w:rPr>
                <w:rFonts w:cs="Calibri"/>
                <w:sz w:val="22"/>
                <w:szCs w:val="22"/>
                <w:lang w:val="en-GB"/>
              </w:rPr>
              <w:t>Domain 5:</w:t>
            </w:r>
          </w:p>
          <w:p w:rsidRPr="00466D0F" w:rsidR="006C2A4E" w:rsidP="00F010DE" w:rsidRDefault="006C2A4E" w14:paraId="6EE84D9E" w14:textId="77777777">
            <w:pPr>
              <w:rPr>
                <w:rFonts w:cs="Calibri"/>
                <w:sz w:val="22"/>
                <w:szCs w:val="22"/>
                <w:lang w:val="en-GB"/>
              </w:rPr>
            </w:pPr>
            <w:r w:rsidRPr="00466D0F">
              <w:rPr>
                <w:rFonts w:cs="Calibri"/>
                <w:sz w:val="22"/>
                <w:szCs w:val="22"/>
                <w:lang w:val="en-GB"/>
              </w:rPr>
              <w:t>Quality of Management</w:t>
            </w:r>
          </w:p>
        </w:tc>
      </w:tr>
      <w:tr w:rsidRPr="00466D0F" w:rsidR="006C2A4E" w14:paraId="55D7DE1A" w14:textId="77777777">
        <w:trPr>
          <w:cnfStyle w:val="000000100000" w:firstRow="0" w:lastRow="0" w:firstColumn="0" w:lastColumn="0" w:oddVBand="0" w:evenVBand="0" w:oddHBand="1" w:evenHBand="0" w:firstRowFirstColumn="0" w:firstRowLastColumn="0" w:lastRowFirstColumn="0" w:lastRowLastColumn="0"/>
          <w:trHeight w:val="1131"/>
        </w:trPr>
        <w:tc>
          <w:tcPr>
            <w:tcW w:w="1701" w:type="dxa"/>
            <w:hideMark/>
          </w:tcPr>
          <w:p w:rsidRPr="00466D0F" w:rsidR="006C2A4E" w:rsidP="00F010DE" w:rsidRDefault="006C2A4E" w14:paraId="6DD18CB7" w14:textId="77777777">
            <w:pPr>
              <w:rPr>
                <w:rFonts w:cs="Calibri"/>
                <w:sz w:val="22"/>
                <w:szCs w:val="22"/>
                <w:lang w:val="en-GB"/>
              </w:rPr>
            </w:pPr>
            <w:r w:rsidRPr="00466D0F">
              <w:rPr>
                <w:rFonts w:cs="Calibri"/>
                <w:b/>
                <w:bCs/>
                <w:sz w:val="22"/>
                <w:szCs w:val="22"/>
                <w:lang w:val="en-GB"/>
              </w:rPr>
              <w:t>1.</w:t>
            </w:r>
            <w:r w:rsidRPr="00466D0F">
              <w:rPr>
                <w:rFonts w:cs="Calibri"/>
                <w:sz w:val="22"/>
                <w:szCs w:val="22"/>
                <w:lang w:val="en-GB"/>
              </w:rPr>
              <w:t xml:space="preserve"> Respecting &amp; Involving Individuals</w:t>
            </w:r>
          </w:p>
        </w:tc>
        <w:tc>
          <w:tcPr>
            <w:tcW w:w="1985" w:type="dxa"/>
            <w:hideMark/>
          </w:tcPr>
          <w:p w:rsidRPr="00466D0F" w:rsidR="006C2A4E" w:rsidP="00F010DE" w:rsidRDefault="006C2A4E" w14:paraId="1B102971" w14:textId="77777777">
            <w:pPr>
              <w:rPr>
                <w:rFonts w:cs="Calibri"/>
                <w:sz w:val="22"/>
                <w:szCs w:val="22"/>
                <w:lang w:val="en-GB"/>
              </w:rPr>
            </w:pPr>
            <w:r w:rsidRPr="00466D0F">
              <w:rPr>
                <w:rFonts w:cs="Calibri"/>
                <w:b/>
                <w:bCs/>
                <w:sz w:val="22"/>
                <w:szCs w:val="22"/>
                <w:lang w:val="en-GB"/>
              </w:rPr>
              <w:t xml:space="preserve">3. </w:t>
            </w:r>
            <w:r w:rsidRPr="00466D0F">
              <w:rPr>
                <w:rFonts w:cs="Calibri"/>
                <w:sz w:val="22"/>
                <w:szCs w:val="22"/>
                <w:lang w:val="en-GB"/>
              </w:rPr>
              <w:t>Care &amp; Welfare of Individuals</w:t>
            </w:r>
          </w:p>
        </w:tc>
        <w:tc>
          <w:tcPr>
            <w:tcW w:w="2121" w:type="dxa"/>
            <w:hideMark/>
          </w:tcPr>
          <w:p w:rsidRPr="00466D0F" w:rsidR="006C2A4E" w:rsidP="00F010DE" w:rsidRDefault="006C2A4E" w14:paraId="56128953" w14:textId="77777777">
            <w:pPr>
              <w:rPr>
                <w:rFonts w:cs="Calibri"/>
                <w:sz w:val="22"/>
                <w:szCs w:val="22"/>
                <w:lang w:val="en-GB"/>
              </w:rPr>
            </w:pPr>
            <w:r w:rsidRPr="00466D0F">
              <w:rPr>
                <w:rFonts w:cs="Calibri"/>
                <w:b/>
                <w:bCs/>
                <w:sz w:val="22"/>
                <w:szCs w:val="22"/>
                <w:lang w:val="en-GB"/>
              </w:rPr>
              <w:t>6.</w:t>
            </w:r>
            <w:r w:rsidRPr="00466D0F">
              <w:rPr>
                <w:rFonts w:cs="Calibri"/>
                <w:sz w:val="22"/>
                <w:szCs w:val="22"/>
                <w:lang w:val="en-GB"/>
              </w:rPr>
              <w:t xml:space="preserve"> Safeguarding People who use the Service from Abuse</w:t>
            </w:r>
          </w:p>
        </w:tc>
        <w:tc>
          <w:tcPr>
            <w:tcW w:w="1984" w:type="dxa"/>
            <w:hideMark/>
          </w:tcPr>
          <w:p w:rsidRPr="00466D0F" w:rsidR="006C2A4E" w:rsidP="00F010DE" w:rsidRDefault="006C2A4E" w14:paraId="202B149D" w14:textId="77777777">
            <w:pPr>
              <w:rPr>
                <w:rFonts w:cs="Calibri"/>
                <w:sz w:val="22"/>
                <w:szCs w:val="22"/>
                <w:lang w:val="en-GB"/>
              </w:rPr>
            </w:pPr>
            <w:r w:rsidRPr="00466D0F">
              <w:rPr>
                <w:rFonts w:cs="Calibri"/>
                <w:b/>
                <w:bCs/>
                <w:sz w:val="22"/>
                <w:szCs w:val="22"/>
                <w:lang w:val="en-GB"/>
              </w:rPr>
              <w:t>11.</w:t>
            </w:r>
            <w:r w:rsidRPr="00466D0F">
              <w:rPr>
                <w:rFonts w:cs="Calibri"/>
                <w:sz w:val="22"/>
                <w:szCs w:val="22"/>
                <w:lang w:val="en-GB"/>
              </w:rPr>
              <w:t xml:space="preserve"> Requirements Relating to Staff</w:t>
            </w:r>
          </w:p>
        </w:tc>
        <w:tc>
          <w:tcPr>
            <w:tcW w:w="1848" w:type="dxa"/>
            <w:hideMark/>
          </w:tcPr>
          <w:p w:rsidRPr="00466D0F" w:rsidR="006C2A4E" w:rsidP="00F010DE" w:rsidRDefault="006C2A4E" w14:paraId="2FC28E3F" w14:textId="77777777">
            <w:pPr>
              <w:rPr>
                <w:rFonts w:cs="Calibri"/>
                <w:sz w:val="22"/>
                <w:szCs w:val="22"/>
                <w:lang w:val="en-GB"/>
              </w:rPr>
            </w:pPr>
            <w:r w:rsidRPr="00466D0F">
              <w:rPr>
                <w:rFonts w:cs="Calibri"/>
                <w:b/>
                <w:bCs/>
                <w:sz w:val="22"/>
                <w:szCs w:val="22"/>
                <w:lang w:val="en-GB"/>
              </w:rPr>
              <w:t>14.</w:t>
            </w:r>
            <w:r w:rsidRPr="00466D0F">
              <w:rPr>
                <w:rFonts w:cs="Calibri"/>
                <w:sz w:val="22"/>
                <w:szCs w:val="22"/>
                <w:lang w:val="en-GB"/>
              </w:rPr>
              <w:t xml:space="preserve"> Assessing &amp; Monitoring the Quality of Service Provision</w:t>
            </w:r>
          </w:p>
        </w:tc>
      </w:tr>
      <w:tr w:rsidRPr="00466D0F" w:rsidR="006C2A4E" w14:paraId="194AD502" w14:textId="77777777">
        <w:trPr>
          <w:trHeight w:val="781"/>
        </w:trPr>
        <w:tc>
          <w:tcPr>
            <w:tcW w:w="1701" w:type="dxa"/>
            <w:hideMark/>
          </w:tcPr>
          <w:p w:rsidRPr="00466D0F" w:rsidR="006C2A4E" w:rsidP="00F010DE" w:rsidRDefault="006C2A4E" w14:paraId="557075C4" w14:textId="77777777">
            <w:pPr>
              <w:rPr>
                <w:rFonts w:cs="Calibri"/>
                <w:sz w:val="22"/>
                <w:szCs w:val="22"/>
                <w:lang w:val="en-GB"/>
              </w:rPr>
            </w:pPr>
            <w:r w:rsidRPr="00466D0F">
              <w:rPr>
                <w:rFonts w:cs="Calibri"/>
                <w:b/>
                <w:bCs/>
                <w:sz w:val="22"/>
                <w:szCs w:val="22"/>
                <w:lang w:val="en-GB"/>
              </w:rPr>
              <w:t>2.</w:t>
            </w:r>
            <w:r w:rsidRPr="00466D0F">
              <w:rPr>
                <w:rFonts w:cs="Calibri"/>
                <w:sz w:val="22"/>
                <w:szCs w:val="22"/>
                <w:lang w:val="en-GB"/>
              </w:rPr>
              <w:t xml:space="preserve"> Consent</w:t>
            </w:r>
          </w:p>
        </w:tc>
        <w:tc>
          <w:tcPr>
            <w:tcW w:w="1985" w:type="dxa"/>
            <w:hideMark/>
          </w:tcPr>
          <w:p w:rsidRPr="00466D0F" w:rsidR="006C2A4E" w:rsidP="00F010DE" w:rsidRDefault="006C2A4E" w14:paraId="5662D6BD" w14:textId="77777777">
            <w:pPr>
              <w:rPr>
                <w:rFonts w:cs="Calibri"/>
                <w:sz w:val="22"/>
                <w:szCs w:val="22"/>
                <w:lang w:val="en-GB"/>
              </w:rPr>
            </w:pPr>
            <w:r w:rsidRPr="00466D0F">
              <w:rPr>
                <w:rFonts w:cs="Calibri"/>
                <w:b/>
                <w:bCs/>
                <w:sz w:val="22"/>
                <w:szCs w:val="22"/>
                <w:lang w:val="en-GB"/>
              </w:rPr>
              <w:t>4.</w:t>
            </w:r>
            <w:r w:rsidRPr="00466D0F">
              <w:rPr>
                <w:rFonts w:cs="Calibri"/>
                <w:sz w:val="22"/>
                <w:szCs w:val="22"/>
                <w:lang w:val="en-GB"/>
              </w:rPr>
              <w:t xml:space="preserve"> Meeting Nutritional Needs</w:t>
            </w:r>
          </w:p>
        </w:tc>
        <w:tc>
          <w:tcPr>
            <w:tcW w:w="2121" w:type="dxa"/>
            <w:hideMark/>
          </w:tcPr>
          <w:p w:rsidRPr="00466D0F" w:rsidR="006C2A4E" w:rsidP="00F010DE" w:rsidRDefault="006C2A4E" w14:paraId="28D4F823" w14:textId="77777777">
            <w:pPr>
              <w:rPr>
                <w:rFonts w:cs="Calibri"/>
                <w:sz w:val="22"/>
                <w:szCs w:val="22"/>
                <w:lang w:val="en-GB"/>
              </w:rPr>
            </w:pPr>
            <w:r w:rsidRPr="00466D0F">
              <w:rPr>
                <w:rFonts w:cs="Calibri"/>
                <w:b/>
                <w:bCs/>
                <w:sz w:val="22"/>
                <w:szCs w:val="22"/>
                <w:lang w:val="en-GB"/>
              </w:rPr>
              <w:t>7.</w:t>
            </w:r>
            <w:r w:rsidRPr="00466D0F">
              <w:rPr>
                <w:rFonts w:cs="Calibri"/>
                <w:sz w:val="22"/>
                <w:szCs w:val="22"/>
                <w:lang w:val="en-GB"/>
              </w:rPr>
              <w:t xml:space="preserve"> Cleanliness &amp; Infection Control</w:t>
            </w:r>
          </w:p>
        </w:tc>
        <w:tc>
          <w:tcPr>
            <w:tcW w:w="1984" w:type="dxa"/>
            <w:hideMark/>
          </w:tcPr>
          <w:p w:rsidRPr="00466D0F" w:rsidR="006C2A4E" w:rsidP="00F010DE" w:rsidRDefault="006C2A4E" w14:paraId="0D402AA3" w14:textId="77777777">
            <w:pPr>
              <w:rPr>
                <w:rFonts w:cs="Calibri"/>
                <w:sz w:val="22"/>
                <w:szCs w:val="22"/>
                <w:lang w:val="en-GB"/>
              </w:rPr>
            </w:pPr>
            <w:r w:rsidRPr="00466D0F">
              <w:rPr>
                <w:rFonts w:cs="Calibri"/>
                <w:b/>
                <w:bCs/>
                <w:sz w:val="22"/>
                <w:szCs w:val="22"/>
                <w:lang w:val="en-GB"/>
              </w:rPr>
              <w:t>12.</w:t>
            </w:r>
            <w:r w:rsidRPr="00466D0F">
              <w:rPr>
                <w:rFonts w:cs="Calibri"/>
                <w:sz w:val="22"/>
                <w:szCs w:val="22"/>
                <w:lang w:val="en-GB"/>
              </w:rPr>
              <w:t xml:space="preserve"> Suitability of Staffing</w:t>
            </w:r>
          </w:p>
        </w:tc>
        <w:tc>
          <w:tcPr>
            <w:tcW w:w="1848" w:type="dxa"/>
            <w:hideMark/>
          </w:tcPr>
          <w:p w:rsidRPr="00466D0F" w:rsidR="006C2A4E" w:rsidP="00F010DE" w:rsidRDefault="006C2A4E" w14:paraId="71B07379" w14:textId="77777777">
            <w:pPr>
              <w:rPr>
                <w:rFonts w:cs="Calibri"/>
                <w:sz w:val="22"/>
                <w:szCs w:val="22"/>
                <w:lang w:val="en-GB"/>
              </w:rPr>
            </w:pPr>
            <w:r w:rsidRPr="00466D0F">
              <w:rPr>
                <w:rFonts w:cs="Calibri"/>
                <w:b/>
                <w:bCs/>
                <w:sz w:val="22"/>
                <w:szCs w:val="22"/>
                <w:lang w:val="en-GB"/>
              </w:rPr>
              <w:t>15.</w:t>
            </w:r>
            <w:r w:rsidRPr="00466D0F">
              <w:rPr>
                <w:rFonts w:cs="Calibri"/>
                <w:sz w:val="22"/>
                <w:szCs w:val="22"/>
                <w:lang w:val="en-GB"/>
              </w:rPr>
              <w:t xml:space="preserve"> Complaints</w:t>
            </w:r>
          </w:p>
        </w:tc>
      </w:tr>
      <w:tr w:rsidRPr="00466D0F" w:rsidR="006C2A4E" w14:paraId="0BE0B984" w14:textId="77777777">
        <w:trPr>
          <w:cnfStyle w:val="000000100000" w:firstRow="0" w:lastRow="0" w:firstColumn="0" w:lastColumn="0" w:oddVBand="0" w:evenVBand="0" w:oddHBand="1" w:evenHBand="0" w:firstRowFirstColumn="0" w:firstRowLastColumn="0" w:lastRowFirstColumn="0" w:lastRowLastColumn="0"/>
          <w:trHeight w:val="781"/>
        </w:trPr>
        <w:tc>
          <w:tcPr>
            <w:tcW w:w="1701" w:type="dxa"/>
            <w:hideMark/>
          </w:tcPr>
          <w:p w:rsidRPr="00466D0F" w:rsidR="006C2A4E" w:rsidP="00F010DE" w:rsidRDefault="006C2A4E" w14:paraId="66DA5E81" w14:textId="77777777">
            <w:pPr>
              <w:rPr>
                <w:rFonts w:cs="Calibri"/>
                <w:sz w:val="22"/>
                <w:szCs w:val="22"/>
                <w:lang w:val="en-GB"/>
              </w:rPr>
            </w:pPr>
          </w:p>
        </w:tc>
        <w:tc>
          <w:tcPr>
            <w:tcW w:w="1985" w:type="dxa"/>
            <w:hideMark/>
          </w:tcPr>
          <w:p w:rsidRPr="00466D0F" w:rsidR="006C2A4E" w:rsidP="00F010DE" w:rsidRDefault="006C2A4E" w14:paraId="62685E37" w14:textId="77777777">
            <w:pPr>
              <w:rPr>
                <w:rFonts w:cs="Calibri"/>
                <w:sz w:val="22"/>
                <w:szCs w:val="22"/>
                <w:lang w:val="en-GB"/>
              </w:rPr>
            </w:pPr>
            <w:r w:rsidRPr="00466D0F">
              <w:rPr>
                <w:rFonts w:cs="Calibri"/>
                <w:b/>
                <w:bCs/>
                <w:sz w:val="22"/>
                <w:szCs w:val="22"/>
                <w:lang w:val="en-GB"/>
              </w:rPr>
              <w:t>5.</w:t>
            </w:r>
            <w:r w:rsidRPr="00466D0F">
              <w:rPr>
                <w:rFonts w:cs="Calibri"/>
                <w:sz w:val="22"/>
                <w:szCs w:val="22"/>
                <w:lang w:val="en-GB"/>
              </w:rPr>
              <w:t xml:space="preserve"> Cooperating with other Providers</w:t>
            </w:r>
          </w:p>
        </w:tc>
        <w:tc>
          <w:tcPr>
            <w:tcW w:w="2121" w:type="dxa"/>
            <w:hideMark/>
          </w:tcPr>
          <w:p w:rsidRPr="00466D0F" w:rsidR="006C2A4E" w:rsidP="00F010DE" w:rsidRDefault="006C2A4E" w14:paraId="58F35EA3" w14:textId="77777777">
            <w:pPr>
              <w:rPr>
                <w:rFonts w:cs="Calibri"/>
                <w:sz w:val="22"/>
                <w:szCs w:val="22"/>
                <w:lang w:val="en-GB"/>
              </w:rPr>
            </w:pPr>
            <w:r w:rsidRPr="00466D0F">
              <w:rPr>
                <w:rFonts w:cs="Calibri"/>
                <w:b/>
                <w:bCs/>
                <w:sz w:val="22"/>
                <w:szCs w:val="22"/>
                <w:lang w:val="en-GB"/>
              </w:rPr>
              <w:t>8.</w:t>
            </w:r>
            <w:r w:rsidRPr="00466D0F">
              <w:rPr>
                <w:rFonts w:cs="Calibri"/>
                <w:sz w:val="22"/>
                <w:szCs w:val="22"/>
                <w:lang w:val="en-GB"/>
              </w:rPr>
              <w:t xml:space="preserve"> Management of Medicines</w:t>
            </w:r>
          </w:p>
        </w:tc>
        <w:tc>
          <w:tcPr>
            <w:tcW w:w="1984" w:type="dxa"/>
            <w:hideMark/>
          </w:tcPr>
          <w:p w:rsidRPr="00466D0F" w:rsidR="006C2A4E" w:rsidP="00F010DE" w:rsidRDefault="006C2A4E" w14:paraId="0B827A52" w14:textId="77777777">
            <w:pPr>
              <w:rPr>
                <w:rFonts w:cs="Calibri"/>
                <w:sz w:val="22"/>
                <w:szCs w:val="22"/>
                <w:lang w:val="en-GB"/>
              </w:rPr>
            </w:pPr>
            <w:r w:rsidRPr="00466D0F">
              <w:rPr>
                <w:rFonts w:cs="Calibri"/>
                <w:b/>
                <w:bCs/>
                <w:sz w:val="22"/>
                <w:szCs w:val="22"/>
                <w:lang w:val="en-GB"/>
              </w:rPr>
              <w:t>13.</w:t>
            </w:r>
            <w:r w:rsidRPr="00466D0F">
              <w:rPr>
                <w:rFonts w:cs="Calibri"/>
                <w:sz w:val="22"/>
                <w:szCs w:val="22"/>
                <w:lang w:val="en-GB"/>
              </w:rPr>
              <w:t xml:space="preserve"> Supporting Staff</w:t>
            </w:r>
          </w:p>
        </w:tc>
        <w:tc>
          <w:tcPr>
            <w:tcW w:w="1848" w:type="dxa"/>
            <w:hideMark/>
          </w:tcPr>
          <w:p w:rsidRPr="00466D0F" w:rsidR="006C2A4E" w:rsidP="00F010DE" w:rsidRDefault="006C2A4E" w14:paraId="279B4CDE" w14:textId="77777777">
            <w:pPr>
              <w:rPr>
                <w:rFonts w:cs="Calibri"/>
                <w:sz w:val="22"/>
                <w:szCs w:val="22"/>
                <w:lang w:val="en-GB"/>
              </w:rPr>
            </w:pPr>
            <w:r w:rsidRPr="00466D0F">
              <w:rPr>
                <w:rFonts w:cs="Calibri"/>
                <w:b/>
                <w:bCs/>
                <w:sz w:val="22"/>
                <w:szCs w:val="22"/>
                <w:lang w:val="en-GB"/>
              </w:rPr>
              <w:t>16.</w:t>
            </w:r>
            <w:r w:rsidRPr="00466D0F">
              <w:rPr>
                <w:rFonts w:cs="Calibri"/>
                <w:sz w:val="22"/>
                <w:szCs w:val="22"/>
                <w:lang w:val="en-GB"/>
              </w:rPr>
              <w:t xml:space="preserve"> Records</w:t>
            </w:r>
          </w:p>
        </w:tc>
      </w:tr>
      <w:tr w:rsidRPr="00466D0F" w:rsidR="006C2A4E" w14:paraId="2B2E0C72" w14:textId="77777777">
        <w:trPr>
          <w:trHeight w:val="781"/>
        </w:trPr>
        <w:tc>
          <w:tcPr>
            <w:tcW w:w="1701" w:type="dxa"/>
            <w:hideMark/>
          </w:tcPr>
          <w:p w:rsidRPr="00466D0F" w:rsidR="006C2A4E" w:rsidP="00F010DE" w:rsidRDefault="006C2A4E" w14:paraId="4739C0C3" w14:textId="77777777">
            <w:pPr>
              <w:rPr>
                <w:rFonts w:cs="Calibri"/>
                <w:sz w:val="22"/>
                <w:szCs w:val="22"/>
                <w:lang w:val="en-GB"/>
              </w:rPr>
            </w:pPr>
          </w:p>
        </w:tc>
        <w:tc>
          <w:tcPr>
            <w:tcW w:w="1985" w:type="dxa"/>
            <w:hideMark/>
          </w:tcPr>
          <w:p w:rsidRPr="00466D0F" w:rsidR="006C2A4E" w:rsidP="00F010DE" w:rsidRDefault="006C2A4E" w14:paraId="0DA4E171" w14:textId="77777777">
            <w:pPr>
              <w:rPr>
                <w:rFonts w:cs="Calibri"/>
                <w:sz w:val="22"/>
                <w:szCs w:val="22"/>
                <w:lang w:val="en-GB"/>
              </w:rPr>
            </w:pPr>
          </w:p>
        </w:tc>
        <w:tc>
          <w:tcPr>
            <w:tcW w:w="2121" w:type="dxa"/>
            <w:hideMark/>
          </w:tcPr>
          <w:p w:rsidRPr="00466D0F" w:rsidR="006C2A4E" w:rsidP="00F010DE" w:rsidRDefault="006C2A4E" w14:paraId="09697569" w14:textId="77777777">
            <w:pPr>
              <w:rPr>
                <w:rFonts w:cs="Calibri"/>
                <w:sz w:val="22"/>
                <w:szCs w:val="22"/>
                <w:lang w:val="en-GB"/>
              </w:rPr>
            </w:pPr>
            <w:r w:rsidRPr="00466D0F">
              <w:rPr>
                <w:rFonts w:cs="Calibri"/>
                <w:b/>
                <w:bCs/>
                <w:sz w:val="22"/>
                <w:szCs w:val="22"/>
                <w:lang w:val="en-GB"/>
              </w:rPr>
              <w:t>9.</w:t>
            </w:r>
            <w:r w:rsidRPr="00466D0F">
              <w:rPr>
                <w:rFonts w:cs="Calibri"/>
                <w:sz w:val="22"/>
                <w:szCs w:val="22"/>
                <w:lang w:val="en-GB"/>
              </w:rPr>
              <w:t xml:space="preserve"> Safety &amp; Suitability of Premises </w:t>
            </w:r>
          </w:p>
        </w:tc>
        <w:tc>
          <w:tcPr>
            <w:tcW w:w="1984" w:type="dxa"/>
            <w:hideMark/>
          </w:tcPr>
          <w:p w:rsidRPr="00466D0F" w:rsidR="006C2A4E" w:rsidP="00F010DE" w:rsidRDefault="006C2A4E" w14:paraId="2DC9E9F4" w14:textId="77777777">
            <w:pPr>
              <w:rPr>
                <w:rFonts w:cs="Calibri"/>
                <w:sz w:val="22"/>
                <w:szCs w:val="22"/>
                <w:lang w:val="en-GB"/>
              </w:rPr>
            </w:pPr>
          </w:p>
        </w:tc>
        <w:tc>
          <w:tcPr>
            <w:tcW w:w="1848" w:type="dxa"/>
            <w:hideMark/>
          </w:tcPr>
          <w:p w:rsidRPr="00466D0F" w:rsidR="006C2A4E" w:rsidP="00F010DE" w:rsidRDefault="006C2A4E" w14:paraId="362100F2" w14:textId="77777777">
            <w:pPr>
              <w:rPr>
                <w:rFonts w:cs="Calibri"/>
                <w:sz w:val="22"/>
                <w:szCs w:val="22"/>
                <w:lang w:val="en-GB"/>
              </w:rPr>
            </w:pPr>
          </w:p>
        </w:tc>
      </w:tr>
      <w:tr w:rsidRPr="00466D0F" w:rsidR="006C2A4E" w14:paraId="0D0C5C6B" w14:textId="77777777">
        <w:trPr>
          <w:cnfStyle w:val="000000100000" w:firstRow="0" w:lastRow="0" w:firstColumn="0" w:lastColumn="0" w:oddVBand="0" w:evenVBand="0" w:oddHBand="1" w:evenHBand="0" w:firstRowFirstColumn="0" w:firstRowLastColumn="0" w:lastRowFirstColumn="0" w:lastRowLastColumn="0"/>
          <w:trHeight w:val="781"/>
        </w:trPr>
        <w:tc>
          <w:tcPr>
            <w:tcW w:w="1701" w:type="dxa"/>
            <w:hideMark/>
          </w:tcPr>
          <w:p w:rsidRPr="00466D0F" w:rsidR="006C2A4E" w:rsidP="00F010DE" w:rsidRDefault="006C2A4E" w14:paraId="20A044A9" w14:textId="77777777">
            <w:pPr>
              <w:rPr>
                <w:rFonts w:cs="Calibri"/>
                <w:sz w:val="22"/>
                <w:szCs w:val="22"/>
                <w:lang w:val="en-GB"/>
              </w:rPr>
            </w:pPr>
          </w:p>
        </w:tc>
        <w:tc>
          <w:tcPr>
            <w:tcW w:w="1985" w:type="dxa"/>
            <w:hideMark/>
          </w:tcPr>
          <w:p w:rsidRPr="00466D0F" w:rsidR="006C2A4E" w:rsidP="00F010DE" w:rsidRDefault="006C2A4E" w14:paraId="3F76D9AB" w14:textId="77777777">
            <w:pPr>
              <w:rPr>
                <w:rFonts w:cs="Calibri"/>
                <w:sz w:val="22"/>
                <w:szCs w:val="22"/>
                <w:lang w:val="en-GB"/>
              </w:rPr>
            </w:pPr>
          </w:p>
        </w:tc>
        <w:tc>
          <w:tcPr>
            <w:tcW w:w="2121" w:type="dxa"/>
            <w:hideMark/>
          </w:tcPr>
          <w:p w:rsidRPr="00466D0F" w:rsidR="006C2A4E" w:rsidP="00F010DE" w:rsidRDefault="006C2A4E" w14:paraId="4D893988" w14:textId="77777777">
            <w:pPr>
              <w:rPr>
                <w:rFonts w:cs="Calibri"/>
                <w:sz w:val="22"/>
                <w:szCs w:val="22"/>
                <w:lang w:val="en-GB"/>
              </w:rPr>
            </w:pPr>
            <w:r w:rsidRPr="00466D0F">
              <w:rPr>
                <w:rFonts w:cs="Calibri"/>
                <w:b/>
                <w:bCs/>
                <w:sz w:val="22"/>
                <w:szCs w:val="22"/>
                <w:lang w:val="en-GB"/>
              </w:rPr>
              <w:t>10.</w:t>
            </w:r>
            <w:r w:rsidRPr="00466D0F">
              <w:rPr>
                <w:rFonts w:cs="Calibri"/>
                <w:sz w:val="22"/>
                <w:szCs w:val="22"/>
                <w:lang w:val="en-GB"/>
              </w:rPr>
              <w:t xml:space="preserve"> Safety &amp; Suitability of Equipment</w:t>
            </w:r>
          </w:p>
        </w:tc>
        <w:tc>
          <w:tcPr>
            <w:tcW w:w="1984" w:type="dxa"/>
            <w:hideMark/>
          </w:tcPr>
          <w:p w:rsidRPr="00466D0F" w:rsidR="006C2A4E" w:rsidP="00F010DE" w:rsidRDefault="006C2A4E" w14:paraId="2470EA07" w14:textId="77777777">
            <w:pPr>
              <w:rPr>
                <w:rFonts w:cs="Calibri"/>
                <w:sz w:val="22"/>
                <w:szCs w:val="22"/>
                <w:lang w:val="en-GB"/>
              </w:rPr>
            </w:pPr>
          </w:p>
        </w:tc>
        <w:tc>
          <w:tcPr>
            <w:tcW w:w="1848" w:type="dxa"/>
            <w:hideMark/>
          </w:tcPr>
          <w:p w:rsidRPr="00466D0F" w:rsidR="006C2A4E" w:rsidP="00F010DE" w:rsidRDefault="006C2A4E" w14:paraId="1ACEDD4C" w14:textId="77777777">
            <w:pPr>
              <w:rPr>
                <w:rFonts w:cs="Calibri"/>
                <w:sz w:val="22"/>
                <w:szCs w:val="22"/>
                <w:lang w:val="en-GB"/>
              </w:rPr>
            </w:pPr>
          </w:p>
        </w:tc>
      </w:tr>
    </w:tbl>
    <w:p w:rsidRPr="00466D0F" w:rsidR="444A212F" w:rsidP="00F010DE" w:rsidRDefault="444A212F" w14:paraId="5EAFEE32" w14:textId="77777777">
      <w:pPr>
        <w:rPr>
          <w:rFonts w:cs="Calibri"/>
          <w:lang w:val="en-GB"/>
        </w:rPr>
      </w:pPr>
    </w:p>
    <w:p w:rsidRPr="00466D0F" w:rsidR="67781C0E" w:rsidP="001C7685" w:rsidRDefault="7329C867" w14:paraId="53355ACE" w14:textId="38B68330">
      <w:pPr>
        <w:pStyle w:val="Heading1"/>
      </w:pPr>
      <w:bookmarkStart w:name="_Toc231656190" w:id="27"/>
      <w:r w:rsidRPr="00466D0F">
        <w:t>Quality Landscape</w:t>
      </w:r>
      <w:bookmarkEnd w:id="27"/>
    </w:p>
    <w:p w:rsidRPr="00466D0F" w:rsidR="00333FA1" w:rsidP="00333FA1" w:rsidRDefault="00333FA1" w14:paraId="66136926" w14:textId="77777777">
      <w:pPr>
        <w:rPr>
          <w:lang w:val="en-GB"/>
        </w:rPr>
      </w:pPr>
    </w:p>
    <w:p w:rsidRPr="00466D0F" w:rsidR="67781C0E" w:rsidP="001C7685" w:rsidRDefault="2E6D238F" w14:paraId="02A3E4B2" w14:textId="3BA71139">
      <w:pPr>
        <w:pStyle w:val="Heading2"/>
      </w:pPr>
      <w:bookmarkStart w:name="_Toc231656191" w:id="28"/>
      <w:r w:rsidRPr="00466D0F">
        <w:t>C</w:t>
      </w:r>
      <w:r w:rsidRPr="00466D0F" w:rsidR="0005748C">
        <w:t xml:space="preserve">are </w:t>
      </w:r>
      <w:r w:rsidRPr="00466D0F">
        <w:t>Q</w:t>
      </w:r>
      <w:r w:rsidRPr="00466D0F" w:rsidR="0005748C">
        <w:t xml:space="preserve">uality </w:t>
      </w:r>
      <w:r w:rsidRPr="00466D0F">
        <w:t>C</w:t>
      </w:r>
      <w:r w:rsidRPr="00466D0F" w:rsidR="0005748C">
        <w:t>ommission (CQC)</w:t>
      </w:r>
      <w:r w:rsidRPr="00466D0F">
        <w:t xml:space="preserve"> </w:t>
      </w:r>
      <w:r w:rsidRPr="00466D0F" w:rsidR="00102359">
        <w:t>Da</w:t>
      </w:r>
      <w:r w:rsidRPr="00466D0F">
        <w:t>ta</w:t>
      </w:r>
      <w:bookmarkEnd w:id="28"/>
    </w:p>
    <w:p w:rsidRPr="00466D0F" w:rsidR="67781C0E" w:rsidP="00F010DE" w:rsidRDefault="2E6D238F" w14:paraId="14342187" w14:textId="59F55CC1">
      <w:pPr>
        <w:rPr>
          <w:rStyle w:val="Heading3Char"/>
          <w:rFonts w:ascii="Calibri" w:hAnsi="Calibri" w:cs="Calibri"/>
          <w:color w:val="auto"/>
          <w:lang w:val="en-GB"/>
        </w:rPr>
      </w:pPr>
      <w:r w:rsidRPr="00466D0F">
        <w:rPr>
          <w:rStyle w:val="Heading3Char"/>
          <w:rFonts w:ascii="Calibri" w:hAnsi="Calibri" w:cs="Calibri"/>
          <w:color w:val="auto"/>
          <w:lang w:val="en-GB"/>
        </w:rPr>
        <w:t>There has been a steady</w:t>
      </w:r>
      <w:r w:rsidRPr="00466D0F" w:rsidR="00EF6E11">
        <w:rPr>
          <w:rStyle w:val="Heading3Char"/>
          <w:rFonts w:ascii="Calibri" w:hAnsi="Calibri" w:cs="Calibri"/>
          <w:color w:val="auto"/>
          <w:lang w:val="en-GB"/>
        </w:rPr>
        <w:t>, consistent</w:t>
      </w:r>
      <w:r w:rsidRPr="00466D0F">
        <w:rPr>
          <w:rStyle w:val="Heading3Char"/>
          <w:rFonts w:ascii="Calibri" w:hAnsi="Calibri" w:cs="Calibri"/>
          <w:color w:val="auto"/>
          <w:lang w:val="en-GB"/>
        </w:rPr>
        <w:t xml:space="preserve"> trend in bed-based ratings from the CQC in the 12 month period, with a small rise in services not inspected, as well as a small rise in providers receiving ‘</w:t>
      </w:r>
      <w:r w:rsidRPr="00466D0F" w:rsidR="00D17938">
        <w:rPr>
          <w:rStyle w:val="Heading3Char"/>
          <w:rFonts w:ascii="Calibri" w:hAnsi="Calibri" w:cs="Calibri"/>
          <w:color w:val="auto"/>
          <w:lang w:val="en-GB"/>
        </w:rPr>
        <w:t>G</w:t>
      </w:r>
      <w:r w:rsidRPr="00466D0F">
        <w:rPr>
          <w:rStyle w:val="Heading3Char"/>
          <w:rFonts w:ascii="Calibri" w:hAnsi="Calibri" w:cs="Calibri"/>
          <w:color w:val="auto"/>
          <w:lang w:val="en-GB"/>
        </w:rPr>
        <w:t>ood’ rating.</w:t>
      </w:r>
    </w:p>
    <w:p w:rsidRPr="00466D0F" w:rsidR="67781C0E" w:rsidP="00F010DE" w:rsidRDefault="67781C0E" w14:paraId="0A5AC991" w14:textId="0925977F">
      <w:pPr>
        <w:rPr>
          <w:rFonts w:cs="Calibri"/>
          <w:lang w:val="en-GB"/>
        </w:rPr>
      </w:pPr>
    </w:p>
    <w:p w:rsidRPr="00466D0F" w:rsidR="67781C0E" w:rsidP="001C7685" w:rsidRDefault="00702CC2" w14:paraId="27040F8D" w14:textId="66C15FF1">
      <w:pPr>
        <w:pStyle w:val="Heading2"/>
      </w:pPr>
      <w:bookmarkStart w:name="_Toc231656192" w:id="29"/>
      <w:r w:rsidRPr="00466D0F">
        <w:t>GCC Quality Assurance D</w:t>
      </w:r>
      <w:r w:rsidRPr="00466D0F" w:rsidR="2E6D238F">
        <w:t>ata</w:t>
      </w:r>
      <w:bookmarkEnd w:id="29"/>
    </w:p>
    <w:p w:rsidRPr="00466D0F" w:rsidR="00581F6C" w:rsidRDefault="00581F6C" w14:paraId="3AAF80A7" w14:textId="77777777">
      <w:pPr>
        <w:rPr>
          <w:kern w:val="2"/>
          <w:lang w:val="en-GB" w:eastAsia="en-GB"/>
          <w14:ligatures w14:val="standardContextual"/>
        </w:rPr>
      </w:pPr>
      <w:r w:rsidRPr="00466D0F">
        <w:rPr>
          <w:lang w:val="en-GB"/>
        </w:rPr>
        <w:t>There has been a significant increase in the number of PAMMS assessments completed this year. Since September 2025, assessment activity has risen steadily as the new quality team and focused assessment model have become established. This has increased ASC’s visibility of market performance and enabled a stronger risk-based approach to provider oversight.</w:t>
      </w:r>
    </w:p>
    <w:p w:rsidRPr="00466D0F" w:rsidR="001510A8" w:rsidP="00F010DE" w:rsidRDefault="001510A8" w14:paraId="3A086B68" w14:textId="4D0609F8">
      <w:pPr>
        <w:rPr>
          <w:rFonts w:cs="Calibri"/>
          <w:lang w:val="en-GB"/>
        </w:rPr>
      </w:pPr>
    </w:p>
    <w:p w:rsidRPr="00466D0F" w:rsidR="00333FA1" w:rsidRDefault="00581F6C" w14:paraId="3ED19031" w14:textId="77777777">
      <w:pPr>
        <w:rPr>
          <w:rStyle w:val="Heading3Char"/>
          <w:rFonts w:ascii="Calibri" w:hAnsi="Calibri"/>
          <w:color w:val="auto"/>
          <w:lang w:val="en-GB"/>
        </w:rPr>
      </w:pPr>
      <w:r w:rsidRPr="00466D0F">
        <w:rPr>
          <w:rStyle w:val="Heading3Char"/>
          <w:rFonts w:ascii="Calibri" w:hAnsi="Calibri"/>
          <w:color w:val="auto"/>
          <w:lang w:val="en-GB"/>
        </w:rPr>
        <w:t xml:space="preserve">Focused PAMMS assessments since September 2025 show a substantial number of services receiving Requires Improvement outcomes. This is consistent with the purpose of the focused model, which is designed to target known areas of risk rather than to sample the market evenly. Assessment outcomes vary by service type, but the overall picture indicates a market where a significant minority of providers require targeted improvement support. The standards most commonly requiring improvement have been care and welfare of individuals, safeguarding and safety, and staff support. </w:t>
      </w:r>
    </w:p>
    <w:p w:rsidRPr="00466D0F" w:rsidR="00333FA1" w:rsidRDefault="00333FA1" w14:paraId="20054DF9" w14:textId="77777777">
      <w:pPr>
        <w:rPr>
          <w:rStyle w:val="Heading3Char"/>
          <w:rFonts w:ascii="Calibri" w:hAnsi="Calibri"/>
          <w:color w:val="auto"/>
          <w:lang w:val="en-GB"/>
        </w:rPr>
      </w:pPr>
    </w:p>
    <w:p w:rsidRPr="00466D0F" w:rsidR="00581F6C" w:rsidRDefault="00581F6C" w14:paraId="14EA3311" w14:textId="7DB1909A">
      <w:pPr>
        <w:rPr>
          <w:kern w:val="2"/>
          <w:lang w:val="en-GB" w:eastAsia="en-GB"/>
          <w14:ligatures w14:val="standardContextual"/>
        </w:rPr>
      </w:pPr>
      <w:r w:rsidRPr="00466D0F">
        <w:rPr>
          <w:rStyle w:val="Heading3Char"/>
          <w:rFonts w:ascii="Calibri" w:hAnsi="Calibri"/>
          <w:color w:val="auto"/>
          <w:lang w:val="en-GB"/>
        </w:rPr>
        <w:t>These themes are closely aligned to wider intelligence from complaints, safeguarding and provider engagement, giving confidence that the assessment approach is identifying the right areas of concern.</w:t>
      </w:r>
    </w:p>
    <w:p w:rsidRPr="00466D0F" w:rsidR="67781C0E" w:rsidP="00F010DE" w:rsidRDefault="67781C0E" w14:paraId="331BF62C" w14:textId="78134DD8">
      <w:pPr>
        <w:rPr>
          <w:rFonts w:cs="Calibri"/>
          <w:lang w:val="en-GB"/>
        </w:rPr>
      </w:pPr>
    </w:p>
    <w:p w:rsidRPr="00466D0F" w:rsidR="67781C0E" w:rsidP="00F010DE" w:rsidRDefault="2E6D238F" w14:paraId="334A6C2C" w14:textId="7DABBF46">
      <w:pPr>
        <w:pStyle w:val="ListParagraph"/>
        <w:numPr>
          <w:ilvl w:val="0"/>
          <w:numId w:val="24"/>
        </w:numPr>
        <w:rPr>
          <w:rStyle w:val="Heading3Char"/>
          <w:rFonts w:ascii="Calibri" w:hAnsi="Calibri" w:cs="Calibri"/>
          <w:color w:val="auto"/>
          <w:lang w:val="en-GB"/>
        </w:rPr>
      </w:pPr>
      <w:r w:rsidRPr="00466D0F">
        <w:rPr>
          <w:rStyle w:val="Heading3Char"/>
          <w:rFonts w:ascii="Calibri" w:hAnsi="Calibri" w:cs="Calibri"/>
          <w:color w:val="auto"/>
          <w:lang w:val="en-GB"/>
        </w:rPr>
        <w:t>Standard 3 - Care and Welfare of Individuals</w:t>
      </w:r>
    </w:p>
    <w:p w:rsidRPr="00466D0F" w:rsidR="67781C0E" w:rsidP="00F010DE" w:rsidRDefault="2E6D238F" w14:paraId="74FA08E1" w14:textId="5C6A7868">
      <w:pPr>
        <w:pStyle w:val="ListParagraph"/>
        <w:numPr>
          <w:ilvl w:val="0"/>
          <w:numId w:val="24"/>
        </w:numPr>
        <w:rPr>
          <w:rStyle w:val="Heading3Char"/>
          <w:rFonts w:ascii="Calibri" w:hAnsi="Calibri" w:cs="Calibri"/>
          <w:color w:val="auto"/>
          <w:lang w:val="en-GB"/>
        </w:rPr>
      </w:pPr>
      <w:r w:rsidRPr="00466D0F">
        <w:rPr>
          <w:rStyle w:val="Heading3Char"/>
          <w:rFonts w:ascii="Calibri" w:hAnsi="Calibri" w:cs="Calibri"/>
          <w:color w:val="auto"/>
          <w:lang w:val="en-GB"/>
        </w:rPr>
        <w:t>Standard 6 - Safeguarding and Safety</w:t>
      </w:r>
    </w:p>
    <w:p w:rsidRPr="00466D0F" w:rsidR="00DD0E5B" w:rsidP="00F010DE" w:rsidRDefault="3A84903D" w14:paraId="46AD5907" w14:textId="5D8209A4">
      <w:pPr>
        <w:pStyle w:val="ListParagraph"/>
        <w:numPr>
          <w:ilvl w:val="0"/>
          <w:numId w:val="24"/>
        </w:numPr>
        <w:rPr>
          <w:rFonts w:cs="Calibri"/>
          <w:lang w:val="en-GB"/>
        </w:rPr>
      </w:pPr>
      <w:r w:rsidRPr="00466D0F">
        <w:rPr>
          <w:rStyle w:val="Heading3Char"/>
          <w:rFonts w:ascii="Calibri" w:hAnsi="Calibri" w:cs="Calibri"/>
          <w:color w:val="auto"/>
          <w:lang w:val="en-GB"/>
        </w:rPr>
        <w:t>Standard 13 - Staff Support</w:t>
      </w:r>
    </w:p>
    <w:p w:rsidRPr="00466D0F" w:rsidR="1EFEB1A2" w:rsidP="00F010DE" w:rsidRDefault="1EFEB1A2" w14:paraId="722CC0F8" w14:textId="6BFB94E9">
      <w:pPr>
        <w:rPr>
          <w:rFonts w:cs="Calibri"/>
          <w:lang w:val="en-GB"/>
        </w:rPr>
      </w:pPr>
    </w:p>
    <w:p w:rsidRPr="00466D0F" w:rsidR="00540376" w:rsidRDefault="00540376" w14:paraId="7C2D443C" w14:textId="77777777">
      <w:pPr>
        <w:rPr>
          <w:kern w:val="2"/>
          <w:lang w:val="en-GB" w:eastAsia="en-GB"/>
          <w14:ligatures w14:val="standardContextual"/>
        </w:rPr>
      </w:pPr>
      <w:r w:rsidRPr="00466D0F">
        <w:rPr>
          <w:lang w:val="en-GB"/>
        </w:rPr>
        <w:t>For any standards rated as Partially Compliant or Non-Compliant, action plans are generated by the provider, regardless of the overall rating achieved. During this period, 206 actions were set. Providers are responsible for completing improvement work within agreed timescales. Actions relating to non-compliance are subject to enhanced monitoring by Quality Commissioning Officers. Five providers received a non-compliant rating in at least one domain.</w:t>
      </w:r>
    </w:p>
    <w:p w:rsidRPr="00466D0F" w:rsidR="67781C0E" w:rsidP="00F010DE" w:rsidRDefault="67781C0E" w14:paraId="63726712" w14:textId="50B9904B">
      <w:pPr>
        <w:rPr>
          <w:rFonts w:cs="Calibri"/>
          <w:lang w:val="en-GB"/>
        </w:rPr>
      </w:pPr>
    </w:p>
    <w:p w:rsidRPr="00466D0F" w:rsidR="67781C0E" w:rsidP="001C7685" w:rsidRDefault="2E6D238F" w14:paraId="558DE285" w14:textId="7D99B0CF">
      <w:pPr>
        <w:pStyle w:val="Heading2"/>
      </w:pPr>
      <w:bookmarkStart w:name="_Toc231656193" w:id="30"/>
      <w:r w:rsidRPr="00466D0F">
        <w:t xml:space="preserve">Providers of </w:t>
      </w:r>
      <w:r w:rsidRPr="00466D0F" w:rsidR="007C6325">
        <w:t>C</w:t>
      </w:r>
      <w:r w:rsidRPr="00466D0F">
        <w:t>oncern</w:t>
      </w:r>
      <w:r w:rsidRPr="00466D0F" w:rsidR="00A17F15">
        <w:t xml:space="preserve"> and Escalations</w:t>
      </w:r>
      <w:bookmarkEnd w:id="30"/>
    </w:p>
    <w:p w:rsidRPr="00466D0F" w:rsidR="67781C0E" w:rsidP="00F010DE" w:rsidRDefault="2E6D238F" w14:paraId="4BF3850D" w14:textId="2F6CB8EC">
      <w:pPr>
        <w:rPr>
          <w:rStyle w:val="Heading3Char"/>
          <w:rFonts w:ascii="Calibri" w:hAnsi="Calibri" w:cs="Calibri"/>
          <w:color w:val="auto"/>
          <w:lang w:val="en-GB"/>
        </w:rPr>
      </w:pPr>
      <w:r w:rsidRPr="00466D0F">
        <w:rPr>
          <w:rStyle w:val="Heading3Char"/>
          <w:rFonts w:ascii="Calibri" w:hAnsi="Calibri" w:cs="Calibri"/>
          <w:color w:val="auto"/>
          <w:lang w:val="en-GB"/>
        </w:rPr>
        <w:t>An increase in risk</w:t>
      </w:r>
      <w:r w:rsidRPr="00466D0F" w:rsidR="002358A2">
        <w:rPr>
          <w:rStyle w:val="Heading3Char"/>
          <w:rFonts w:ascii="Calibri" w:hAnsi="Calibri" w:cs="Calibri"/>
          <w:color w:val="auto"/>
          <w:lang w:val="en-GB"/>
        </w:rPr>
        <w:t>-</w:t>
      </w:r>
      <w:r w:rsidRPr="00466D0F">
        <w:rPr>
          <w:rStyle w:val="Heading3Char"/>
          <w:rFonts w:ascii="Calibri" w:hAnsi="Calibri" w:cs="Calibri"/>
          <w:color w:val="auto"/>
          <w:lang w:val="en-GB"/>
        </w:rPr>
        <w:t xml:space="preserve">led visits and poor compliance leads to </w:t>
      </w:r>
      <w:r w:rsidRPr="00466D0F" w:rsidR="00750F1E">
        <w:rPr>
          <w:rStyle w:val="Heading3Char"/>
          <w:rFonts w:ascii="Calibri" w:hAnsi="Calibri" w:cs="Calibri"/>
          <w:color w:val="auto"/>
          <w:lang w:val="en-GB"/>
        </w:rPr>
        <w:t xml:space="preserve">a proportionately </w:t>
      </w:r>
      <w:r w:rsidRPr="00466D0F">
        <w:rPr>
          <w:rStyle w:val="Heading3Char"/>
          <w:rFonts w:ascii="Calibri" w:hAnsi="Calibri" w:cs="Calibri"/>
          <w:color w:val="auto"/>
          <w:lang w:val="en-GB"/>
        </w:rPr>
        <w:t>higher rate of market improvement support. This may involve additional visits, monitoring of action plans, and contract escalation. This improvement work is vital to ensure sustained compliance and market sustainability.</w:t>
      </w:r>
    </w:p>
    <w:p w:rsidRPr="00466D0F" w:rsidR="00D2428D" w:rsidP="00F010DE" w:rsidRDefault="00D2428D" w14:paraId="1314E3A0" w14:textId="77777777">
      <w:pPr>
        <w:rPr>
          <w:rStyle w:val="Heading3Char"/>
          <w:rFonts w:ascii="Calibri" w:hAnsi="Calibri" w:cs="Calibri"/>
          <w:color w:val="auto"/>
          <w:lang w:val="en-GB"/>
        </w:rPr>
      </w:pPr>
    </w:p>
    <w:p w:rsidRPr="00466D0F" w:rsidR="67781C0E" w:rsidP="00F010DE" w:rsidRDefault="2E6D238F" w14:paraId="62D63026" w14:textId="16006CA4">
      <w:pPr>
        <w:rPr>
          <w:rStyle w:val="Heading3Char"/>
          <w:rFonts w:ascii="Calibri" w:hAnsi="Calibri" w:cs="Calibri"/>
          <w:color w:val="auto"/>
          <w:lang w:val="en-GB"/>
        </w:rPr>
      </w:pPr>
      <w:r w:rsidRPr="00466D0F">
        <w:rPr>
          <w:rStyle w:val="Heading3Char"/>
          <w:rFonts w:ascii="Calibri" w:hAnsi="Calibri" w:cs="Calibri"/>
          <w:color w:val="auto"/>
          <w:lang w:val="en-GB"/>
        </w:rPr>
        <w:t xml:space="preserve">There has been a significant increase in contract escalation required, with 10 suspensions issued </w:t>
      </w:r>
      <w:r w:rsidRPr="00466D0F" w:rsidR="00750F1E">
        <w:rPr>
          <w:rStyle w:val="Heading3Char"/>
          <w:rFonts w:ascii="Calibri" w:hAnsi="Calibri" w:cs="Calibri"/>
          <w:color w:val="auto"/>
          <w:lang w:val="en-GB"/>
        </w:rPr>
        <w:t xml:space="preserve">in </w:t>
      </w:r>
      <w:r w:rsidRPr="00466D0F">
        <w:rPr>
          <w:rStyle w:val="Heading3Char"/>
          <w:rFonts w:ascii="Calibri" w:hAnsi="Calibri" w:cs="Calibri"/>
          <w:color w:val="auto"/>
          <w:lang w:val="en-GB"/>
        </w:rPr>
        <w:t xml:space="preserve">24/25 and 29 suspensions issued </w:t>
      </w:r>
      <w:r w:rsidRPr="00466D0F" w:rsidR="00750F1E">
        <w:rPr>
          <w:rStyle w:val="Heading3Char"/>
          <w:rFonts w:ascii="Calibri" w:hAnsi="Calibri" w:cs="Calibri"/>
          <w:color w:val="auto"/>
          <w:lang w:val="en-GB"/>
        </w:rPr>
        <w:t xml:space="preserve">in </w:t>
      </w:r>
      <w:r w:rsidRPr="00466D0F">
        <w:rPr>
          <w:rStyle w:val="Heading3Char"/>
          <w:rFonts w:ascii="Calibri" w:hAnsi="Calibri" w:cs="Calibri"/>
          <w:color w:val="auto"/>
          <w:lang w:val="en-GB"/>
        </w:rPr>
        <w:t xml:space="preserve">25/26. The higher proportion of services under suspension during </w:t>
      </w:r>
      <w:r w:rsidRPr="00466D0F" w:rsidR="00C06A8A">
        <w:rPr>
          <w:rStyle w:val="Heading3Char"/>
          <w:rFonts w:ascii="Calibri" w:hAnsi="Calibri" w:cs="Calibri"/>
          <w:color w:val="auto"/>
          <w:lang w:val="en-GB"/>
        </w:rPr>
        <w:t>25/26</w:t>
      </w:r>
      <w:r w:rsidRPr="00466D0F">
        <w:rPr>
          <w:rStyle w:val="Heading3Char"/>
          <w:rFonts w:ascii="Calibri" w:hAnsi="Calibri" w:cs="Calibri"/>
          <w:color w:val="auto"/>
          <w:lang w:val="en-GB"/>
        </w:rPr>
        <w:t xml:space="preserve"> is influenced by the revocation of a provider’s UK Visas and Immigration (UKVI) sponsor licence by the Home Office.</w:t>
      </w:r>
    </w:p>
    <w:p w:rsidRPr="00466D0F" w:rsidR="67781C0E" w:rsidP="00F010DE" w:rsidRDefault="67781C0E" w14:paraId="581666F2" w14:textId="3153BE48">
      <w:pPr>
        <w:rPr>
          <w:rFonts w:cs="Calibri"/>
          <w:lang w:val="en-GB"/>
        </w:rPr>
      </w:pPr>
    </w:p>
    <w:p w:rsidRPr="00466D0F" w:rsidR="67781C0E" w:rsidP="00F010DE" w:rsidRDefault="2E6D238F" w14:paraId="77E3C442" w14:textId="2FE01F7A">
      <w:pPr>
        <w:rPr>
          <w:rFonts w:eastAsia="Arial" w:cs="Calibri"/>
          <w:color w:val="000000" w:themeColor="text1"/>
          <w:lang w:val="en-GB"/>
        </w:rPr>
      </w:pPr>
      <w:r w:rsidRPr="00466D0F">
        <w:rPr>
          <w:rFonts w:cs="Calibri"/>
          <w:noProof/>
          <w:lang w:val="en-GB"/>
        </w:rPr>
        <w:drawing>
          <wp:inline distT="0" distB="0" distL="0" distR="0" wp14:anchorId="75C9F0F5" wp14:editId="2F04BAE1">
            <wp:extent cx="5943600" cy="2733675"/>
            <wp:effectExtent l="0" t="0" r="0" b="0"/>
            <wp:docPr id="61629894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6298946" name="Picture 616298946"/>
                    <pic:cNvPicPr/>
                  </pic:nvPicPr>
                  <pic:blipFill>
                    <a:blip r:embed="rId32">
                      <a:extLst>
                        <a:ext uri="{28A0092B-C50C-407E-A947-70E740481C1C}">
                          <a14:useLocalDpi xmlns:a14="http://schemas.microsoft.com/office/drawing/2010/main"/>
                        </a:ext>
                      </a:extLst>
                    </a:blip>
                    <a:stretch>
                      <a:fillRect/>
                    </a:stretch>
                  </pic:blipFill>
                  <pic:spPr>
                    <a:xfrm>
                      <a:off x="0" y="0"/>
                      <a:ext cx="5943600" cy="2733675"/>
                    </a:xfrm>
                    <a:prstGeom prst="rect">
                      <a:avLst/>
                    </a:prstGeom>
                  </pic:spPr>
                </pic:pic>
              </a:graphicData>
            </a:graphic>
          </wp:inline>
        </w:drawing>
      </w:r>
    </w:p>
    <w:p w:rsidRPr="00466D0F" w:rsidR="67781C0E" w:rsidP="00F010DE" w:rsidRDefault="67781C0E" w14:paraId="18249453" w14:textId="44F3299A">
      <w:pPr>
        <w:rPr>
          <w:rFonts w:cs="Calibri"/>
          <w:lang w:val="en-GB"/>
        </w:rPr>
      </w:pPr>
    </w:p>
    <w:p w:rsidRPr="00466D0F" w:rsidR="00CF272F" w:rsidRDefault="00CF272F" w14:paraId="31B74DED" w14:textId="77777777">
      <w:pPr>
        <w:rPr>
          <w:kern w:val="2"/>
          <w:lang w:val="en-GB" w:eastAsia="en-GB"/>
          <w14:ligatures w14:val="standardContextual"/>
        </w:rPr>
      </w:pPr>
      <w:r w:rsidRPr="00466D0F">
        <w:rPr>
          <w:rStyle w:val="Heading3Char"/>
          <w:rFonts w:ascii="Calibri" w:hAnsi="Calibri"/>
          <w:color w:val="auto"/>
          <w:lang w:val="en-GB"/>
        </w:rPr>
        <w:t>At the point suspensions were issued, 281 GCC-funded individuals were placed within suspended services. A further 171 GCC-funded individuals were placed within services where a Notice of Dissatisfaction had been issued. In 2025/26, the average time between suspension and lifting of suspension was three calendar months.</w:t>
      </w:r>
    </w:p>
    <w:p w:rsidRPr="00466D0F" w:rsidR="00B42DCB" w:rsidP="00F010DE" w:rsidRDefault="00B42DCB" w14:paraId="4C31C066" w14:textId="77777777">
      <w:pPr>
        <w:rPr>
          <w:rFonts w:cs="Calibri"/>
          <w:lang w:val="en-GB"/>
        </w:rPr>
      </w:pPr>
    </w:p>
    <w:p w:rsidRPr="00466D0F" w:rsidR="00471E9F" w:rsidP="001C7685" w:rsidRDefault="00B42DCB" w14:paraId="5B53A007" w14:textId="5044FBE9">
      <w:pPr>
        <w:pStyle w:val="Heading2"/>
        <w:rPr>
          <w:bCs/>
        </w:rPr>
      </w:pPr>
      <w:bookmarkStart w:name="_Toc231656194" w:id="31"/>
      <w:r w:rsidRPr="00466D0F">
        <w:t>Contract</w:t>
      </w:r>
      <w:r w:rsidRPr="00466D0F" w:rsidR="00471E9F">
        <w:t xml:space="preserve"> compliance</w:t>
      </w:r>
      <w:bookmarkEnd w:id="31"/>
      <w:r w:rsidRPr="00466D0F" w:rsidR="00471E9F">
        <w:t xml:space="preserve"> </w:t>
      </w:r>
    </w:p>
    <w:p w:rsidRPr="00466D0F" w:rsidR="00B23170" w:rsidP="00F010DE" w:rsidRDefault="00B23170" w14:paraId="4710EFEB" w14:textId="7F706894">
      <w:pPr>
        <w:rPr>
          <w:rFonts w:cs="Calibri"/>
          <w:lang w:val="en-GB"/>
        </w:rPr>
      </w:pPr>
      <w:r w:rsidRPr="00466D0F">
        <w:rPr>
          <w:rFonts w:cs="Calibri"/>
          <w:lang w:val="en-GB"/>
        </w:rPr>
        <w:t>Contract compliance processes are currently being embedded across commissioned services. To support this, two rounds of quarterly self-assessments aligned to contractual Key Performance Indicators (KPIs) have been issued to domiciliary care providers, alongside one round issued to nursing and residential care providers.</w:t>
      </w:r>
    </w:p>
    <w:p w:rsidRPr="00466D0F" w:rsidR="007049DB" w:rsidP="00F010DE" w:rsidRDefault="007049DB" w14:paraId="78C57D69" w14:textId="77777777">
      <w:pPr>
        <w:rPr>
          <w:rFonts w:cs="Calibri"/>
          <w:lang w:val="en-GB"/>
        </w:rPr>
      </w:pPr>
    </w:p>
    <w:p w:rsidRPr="00466D0F" w:rsidR="00B23170" w:rsidP="00F010DE" w:rsidRDefault="00B23170" w14:paraId="6FD0DA2B" w14:textId="59B7BC73">
      <w:pPr>
        <w:rPr>
          <w:rFonts w:cs="Calibri"/>
          <w:lang w:val="en-GB"/>
        </w:rPr>
      </w:pPr>
      <w:r w:rsidRPr="00466D0F">
        <w:rPr>
          <w:rFonts w:cs="Calibri"/>
          <w:lang w:val="en-GB"/>
        </w:rPr>
        <w:t>These self-assessments provide valuable insight into a range of key areas, including policy and governance arrangements, service stability and changes, workforce capacity, business continuity planning, and Disclosure and Barring Service (DBS) management.</w:t>
      </w:r>
    </w:p>
    <w:p w:rsidRPr="00466D0F" w:rsidR="007049DB" w:rsidP="00F010DE" w:rsidRDefault="007049DB" w14:paraId="1CCD4D71" w14:textId="77777777">
      <w:pPr>
        <w:rPr>
          <w:rFonts w:cs="Calibri"/>
          <w:lang w:val="en-GB"/>
        </w:rPr>
      </w:pPr>
    </w:p>
    <w:p w:rsidRPr="00466D0F" w:rsidR="00B23170" w:rsidP="00F010DE" w:rsidRDefault="00B23170" w14:paraId="3A4E8E9F" w14:textId="4B692C17">
      <w:pPr>
        <w:rPr>
          <w:rFonts w:cs="Calibri"/>
          <w:lang w:val="en-GB"/>
        </w:rPr>
      </w:pPr>
      <w:r w:rsidRPr="00466D0F">
        <w:rPr>
          <w:rFonts w:cs="Calibri"/>
          <w:lang w:val="en-GB"/>
        </w:rPr>
        <w:t>All submitted returns are subject to a structured scoring and weighting methodology to generate an overall risk rating. This rating is used to inform the prioritisation of oversight activity and to support targeted contractual interventions, including site visits where appropriate.</w:t>
      </w:r>
    </w:p>
    <w:p w:rsidRPr="00466D0F" w:rsidR="007049DB" w:rsidP="00F010DE" w:rsidRDefault="007049DB" w14:paraId="7FDE1A79" w14:textId="77777777">
      <w:pPr>
        <w:rPr>
          <w:rFonts w:cs="Calibri"/>
          <w:lang w:val="en-GB"/>
        </w:rPr>
      </w:pPr>
    </w:p>
    <w:p w:rsidRPr="00466D0F" w:rsidR="007049DB" w:rsidP="00F010DE" w:rsidRDefault="00B23170" w14:paraId="37F07088" w14:textId="77777777">
      <w:pPr>
        <w:rPr>
          <w:rFonts w:cs="Calibri"/>
          <w:lang w:val="en-GB"/>
        </w:rPr>
      </w:pPr>
      <w:r w:rsidRPr="00466D0F">
        <w:rPr>
          <w:rFonts w:cs="Calibri"/>
          <w:lang w:val="en-GB"/>
        </w:rPr>
        <w:t>Based on the initial returns from domiciliary care providers</w:t>
      </w:r>
      <w:r w:rsidRPr="00466D0F" w:rsidR="007049DB">
        <w:rPr>
          <w:rFonts w:cs="Calibri"/>
          <w:lang w:val="en-GB"/>
        </w:rPr>
        <w:t>:</w:t>
      </w:r>
    </w:p>
    <w:p w:rsidRPr="00466D0F" w:rsidR="007049DB" w:rsidP="00F010DE" w:rsidRDefault="00B23170" w14:paraId="2A77EEA2" w14:textId="77777777">
      <w:pPr>
        <w:pStyle w:val="ListParagraph"/>
        <w:numPr>
          <w:ilvl w:val="0"/>
          <w:numId w:val="17"/>
        </w:numPr>
        <w:rPr>
          <w:rFonts w:cs="Calibri"/>
          <w:lang w:val="en-GB"/>
        </w:rPr>
      </w:pPr>
      <w:r w:rsidRPr="00466D0F">
        <w:rPr>
          <w:rFonts w:cs="Calibri"/>
          <w:lang w:val="en-GB"/>
        </w:rPr>
        <w:t>10% were rated red (non-compliant)</w:t>
      </w:r>
    </w:p>
    <w:p w:rsidRPr="00466D0F" w:rsidR="007049DB" w:rsidP="00F010DE" w:rsidRDefault="00B23170" w14:paraId="1CCB8A03" w14:textId="77777777">
      <w:pPr>
        <w:pStyle w:val="ListParagraph"/>
        <w:numPr>
          <w:ilvl w:val="0"/>
          <w:numId w:val="17"/>
        </w:numPr>
        <w:rPr>
          <w:rFonts w:cs="Calibri"/>
          <w:lang w:val="en-GB"/>
        </w:rPr>
      </w:pPr>
      <w:r w:rsidRPr="00466D0F">
        <w:rPr>
          <w:rFonts w:cs="Calibri"/>
          <w:lang w:val="en-GB"/>
        </w:rPr>
        <w:t>43% yellow (partially compliant)</w:t>
      </w:r>
    </w:p>
    <w:p w:rsidRPr="00466D0F" w:rsidR="007049DB" w:rsidP="00F010DE" w:rsidRDefault="00B23170" w14:paraId="3F1C080B" w14:textId="7BF0073E">
      <w:pPr>
        <w:pStyle w:val="ListParagraph"/>
        <w:numPr>
          <w:ilvl w:val="0"/>
          <w:numId w:val="17"/>
        </w:numPr>
        <w:rPr>
          <w:rFonts w:cs="Calibri"/>
          <w:lang w:val="en-GB"/>
        </w:rPr>
      </w:pPr>
      <w:r w:rsidRPr="00466D0F">
        <w:rPr>
          <w:rFonts w:cs="Calibri"/>
          <w:lang w:val="en-GB"/>
        </w:rPr>
        <w:t>49% green (compliant)</w:t>
      </w:r>
    </w:p>
    <w:p w:rsidRPr="00466D0F" w:rsidR="00AB2C16" w:rsidP="00F010DE" w:rsidRDefault="00AB2C16" w14:paraId="1E5AB370" w14:textId="77777777">
      <w:pPr>
        <w:pStyle w:val="ListParagraph"/>
        <w:rPr>
          <w:rFonts w:cs="Calibri"/>
          <w:lang w:val="en-GB"/>
        </w:rPr>
      </w:pPr>
    </w:p>
    <w:p w:rsidRPr="00466D0F" w:rsidR="00B23170" w:rsidP="00F010DE" w:rsidRDefault="00B23170" w14:paraId="72C22BEC" w14:textId="3B441D12">
      <w:pPr>
        <w:rPr>
          <w:rFonts w:cs="Calibri"/>
          <w:lang w:val="en-GB"/>
        </w:rPr>
      </w:pPr>
      <w:r w:rsidRPr="00466D0F">
        <w:rPr>
          <w:rFonts w:cs="Calibri"/>
          <w:lang w:val="en-GB"/>
        </w:rPr>
        <w:t xml:space="preserve">Providers rated as red have been prioritised for </w:t>
      </w:r>
      <w:r w:rsidRPr="00466D0F" w:rsidR="002310BE">
        <w:rPr>
          <w:rFonts w:cs="Calibri"/>
          <w:lang w:val="en-GB"/>
        </w:rPr>
        <w:t>site</w:t>
      </w:r>
      <w:r w:rsidRPr="00466D0F">
        <w:rPr>
          <w:rFonts w:cs="Calibri"/>
          <w:lang w:val="en-GB"/>
        </w:rPr>
        <w:t xml:space="preserve"> visits, which are currently being undertaken by the Contracts Team to support and ensure compliance.</w:t>
      </w:r>
    </w:p>
    <w:p w:rsidRPr="00466D0F" w:rsidR="00AB2C16" w:rsidP="00F010DE" w:rsidRDefault="00AB2C16" w14:paraId="31CA632D" w14:textId="77777777">
      <w:pPr>
        <w:rPr>
          <w:rFonts w:cs="Calibri"/>
          <w:lang w:val="en-GB"/>
        </w:rPr>
      </w:pPr>
    </w:p>
    <w:p w:rsidRPr="00466D0F" w:rsidR="00B23170" w:rsidP="00F010DE" w:rsidRDefault="00B23170" w14:paraId="1E1BE57D" w14:textId="77777777">
      <w:pPr>
        <w:rPr>
          <w:rFonts w:cs="Calibri"/>
          <w:lang w:val="en-GB"/>
        </w:rPr>
      </w:pPr>
      <w:r w:rsidRPr="00466D0F">
        <w:rPr>
          <w:rFonts w:cs="Calibri"/>
          <w:lang w:val="en-GB"/>
        </w:rPr>
        <w:t>In parallel, compliance with Electronic Call Monitoring (ECM) requirements is reviewed across all contracted providers, with an expectation that providers achieve a minimum of 90% real-time call logging.</w:t>
      </w:r>
    </w:p>
    <w:p w:rsidRPr="00466D0F" w:rsidR="00AB2C16" w:rsidP="00F010DE" w:rsidRDefault="00AB2C16" w14:paraId="36D2B7DD" w14:textId="77777777">
      <w:pPr>
        <w:rPr>
          <w:rFonts w:cs="Calibri"/>
          <w:lang w:val="en-GB"/>
        </w:rPr>
      </w:pPr>
    </w:p>
    <w:p w:rsidRPr="00466D0F" w:rsidR="00B23170" w:rsidP="00F010DE" w:rsidRDefault="00B23170" w14:paraId="2F3F9D7D" w14:textId="77777777">
      <w:pPr>
        <w:rPr>
          <w:rFonts w:cs="Calibri"/>
          <w:lang w:val="en-GB"/>
        </w:rPr>
      </w:pPr>
      <w:r w:rsidRPr="00466D0F">
        <w:rPr>
          <w:rFonts w:cs="Calibri"/>
          <w:lang w:val="en-GB"/>
        </w:rPr>
        <w:t>A contract management matrix is also in place as a centralised system for gathering and monitoring intelligence. This includes the logging of contractual incidents, as well as monitoring refusals within block-commissioned domiciliary care services.</w:t>
      </w:r>
    </w:p>
    <w:p w:rsidRPr="00466D0F" w:rsidR="00AB2C16" w:rsidP="00F010DE" w:rsidRDefault="00AB2C16" w14:paraId="7346C29D" w14:textId="77777777">
      <w:pPr>
        <w:rPr>
          <w:rFonts w:cs="Calibri"/>
          <w:lang w:val="en-GB"/>
        </w:rPr>
      </w:pPr>
    </w:p>
    <w:p w:rsidRPr="00466D0F" w:rsidR="004D40E6" w:rsidP="004D40E6" w:rsidRDefault="004D40E6" w14:paraId="25EB79FD" w14:textId="77777777">
      <w:pPr>
        <w:rPr>
          <w:rStyle w:val="Heading3Char"/>
          <w:rFonts w:ascii="Calibri" w:hAnsi="Calibri" w:cs="Calibri"/>
          <w:color w:val="auto"/>
          <w:lang w:val="en-GB"/>
        </w:rPr>
      </w:pPr>
      <w:r w:rsidRPr="00466D0F">
        <w:rPr>
          <w:rStyle w:val="Heading3Char"/>
          <w:rFonts w:ascii="Calibri" w:hAnsi="Calibri" w:cs="Calibri"/>
          <w:color w:val="auto"/>
          <w:lang w:val="en-GB"/>
        </w:rPr>
        <w:t>Since the start of 2026, a total of five Notices of Dissatisfaction have been issued to providers for breaches of contractual requirements.</w:t>
      </w:r>
    </w:p>
    <w:p w:rsidRPr="00466D0F" w:rsidR="004D40E6" w:rsidP="004D40E6" w:rsidRDefault="004D40E6" w14:paraId="55B39E39" w14:textId="77777777">
      <w:pPr>
        <w:rPr>
          <w:rStyle w:val="Heading3Char"/>
          <w:rFonts w:ascii="Calibri" w:hAnsi="Calibri" w:cs="Calibri"/>
          <w:color w:val="auto"/>
          <w:lang w:val="en-GB"/>
        </w:rPr>
      </w:pPr>
    </w:p>
    <w:p w:rsidRPr="00466D0F" w:rsidR="004D40E6" w:rsidP="004D40E6" w:rsidRDefault="004D40E6" w14:paraId="66C9DD33" w14:textId="77777777">
      <w:pPr>
        <w:pStyle w:val="Heading1"/>
        <w:rPr>
          <w:rStyle w:val="Heading3Char"/>
          <w:rFonts w:ascii="Calibri" w:hAnsi="Calibri" w:cs="Calibri"/>
          <w:color w:val="auto"/>
        </w:rPr>
      </w:pPr>
      <w:bookmarkStart w:name="_Toc231656195" w:id="32"/>
      <w:r w:rsidRPr="00466D0F">
        <w:rPr>
          <w:rStyle w:val="Heading3Char"/>
          <w:rFonts w:ascii="Calibri" w:hAnsi="Calibri" w:cs="Calibri"/>
          <w:color w:val="auto"/>
        </w:rPr>
        <w:t>Safeguarding Integration</w:t>
      </w:r>
      <w:bookmarkEnd w:id="32"/>
    </w:p>
    <w:p w:rsidRPr="00466D0F" w:rsidR="004D40E6" w:rsidP="004D40E6" w:rsidRDefault="004D40E6" w14:paraId="6937EE54" w14:textId="77777777">
      <w:pPr>
        <w:rPr>
          <w:rStyle w:val="Heading3Char"/>
          <w:rFonts w:ascii="Calibri" w:hAnsi="Calibri" w:cs="Calibri"/>
          <w:color w:val="auto"/>
          <w:lang w:val="en-GB"/>
        </w:rPr>
      </w:pPr>
    </w:p>
    <w:p w:rsidRPr="00466D0F" w:rsidR="004D40E6" w:rsidP="004D40E6" w:rsidRDefault="004D40E6" w14:paraId="21BEEF93" w14:textId="77777777">
      <w:pPr>
        <w:pStyle w:val="Heading2"/>
        <w:rPr>
          <w:rStyle w:val="Heading3Char"/>
          <w:rFonts w:ascii="Calibri" w:hAnsi="Calibri" w:cs="Calibri"/>
          <w:color w:val="auto"/>
        </w:rPr>
      </w:pPr>
      <w:bookmarkStart w:name="_Toc231656196" w:id="33"/>
      <w:r w:rsidRPr="3CB7E75F">
        <w:rPr>
          <w:rStyle w:val="Heading3Char"/>
          <w:rFonts w:ascii="Calibri" w:hAnsi="Calibri" w:cs="Calibri"/>
          <w:color w:val="auto"/>
        </w:rPr>
        <w:t>Safeguarding Data</w:t>
      </w:r>
      <w:bookmarkEnd w:id="33"/>
    </w:p>
    <w:p w:rsidR="3CB7E75F" w:rsidP="3CB7E75F" w:rsidRDefault="3CB7E75F" w14:paraId="70BAF5CB" w14:textId="7AA640BD">
      <w:pPr>
        <w:rPr>
          <w:rStyle w:val="Heading3Char"/>
          <w:rFonts w:ascii="Calibri" w:hAnsi="Calibri" w:cs="Calibri"/>
          <w:color w:val="auto"/>
          <w:lang w:val="en-GB"/>
        </w:rPr>
      </w:pPr>
    </w:p>
    <w:p w:rsidR="32B1B80F" w:rsidP="3CB7E75F" w:rsidRDefault="32B1B80F" w14:paraId="34A7E1FA" w14:textId="272B145F">
      <w:pPr>
        <w:rPr>
          <w:rFonts w:ascii="Aptos" w:hAnsi="Aptos" w:eastAsia="Aptos" w:cs="Aptos"/>
          <w:lang w:val="en-GB"/>
        </w:rPr>
      </w:pPr>
      <w:r w:rsidRPr="3CB7E75F">
        <w:rPr>
          <w:rFonts w:ascii="Aptos" w:hAnsi="Aptos" w:eastAsia="Aptos" w:cs="Aptos"/>
          <w:lang w:val="en-GB"/>
        </w:rPr>
        <w:t>10,044 concerns were raised to Safeguarding in 25/26, of which 4,444 (44%) concerns were raised by service providers, mak</w:t>
      </w:r>
      <w:r w:rsidRPr="3CB7E75F" w:rsidR="773FCDEF">
        <w:rPr>
          <w:rFonts w:ascii="Aptos" w:hAnsi="Aptos" w:eastAsia="Aptos" w:cs="Aptos"/>
          <w:lang w:val="en-GB"/>
        </w:rPr>
        <w:t>ing</w:t>
      </w:r>
      <w:r w:rsidRPr="3CB7E75F">
        <w:rPr>
          <w:rFonts w:ascii="Aptos" w:hAnsi="Aptos" w:eastAsia="Aptos" w:cs="Aptos"/>
          <w:lang w:val="en-GB"/>
        </w:rPr>
        <w:t xml:space="preserve"> them the largest source of concerns.</w:t>
      </w:r>
      <w:r w:rsidRPr="3CB7E75F" w:rsidR="267DEE85">
        <w:rPr>
          <w:rFonts w:ascii="Aptos" w:hAnsi="Aptos" w:eastAsia="Aptos" w:cs="Aptos"/>
          <w:lang w:val="en-GB"/>
        </w:rPr>
        <w:t xml:space="preserve"> This is an increase on 24/25, which can be attributed to the </w:t>
      </w:r>
      <w:r w:rsidRPr="3CB7E75F" w:rsidR="72FA6E8F">
        <w:rPr>
          <w:rFonts w:ascii="Aptos" w:hAnsi="Aptos" w:eastAsia="Aptos" w:cs="Aptos"/>
          <w:lang w:val="en-GB"/>
        </w:rPr>
        <w:t xml:space="preserve">roll out of </w:t>
      </w:r>
      <w:r w:rsidRPr="3CB7E75F" w:rsidR="7942DB9B">
        <w:rPr>
          <w:rFonts w:ascii="Aptos" w:hAnsi="Aptos" w:eastAsia="Aptos" w:cs="Aptos"/>
          <w:lang w:val="en-GB"/>
        </w:rPr>
        <w:t>the Safeguarding</w:t>
      </w:r>
      <w:r w:rsidRPr="3CB7E75F" w:rsidR="267DEE85">
        <w:rPr>
          <w:rFonts w:ascii="Aptos" w:hAnsi="Aptos" w:eastAsia="Aptos" w:cs="Aptos"/>
          <w:lang w:val="en-GB"/>
        </w:rPr>
        <w:t xml:space="preserve"> single point </w:t>
      </w:r>
      <w:r w:rsidRPr="3CB7E75F" w:rsidR="4E047A83">
        <w:rPr>
          <w:rFonts w:ascii="Aptos" w:hAnsi="Aptos" w:eastAsia="Aptos" w:cs="Aptos"/>
          <w:lang w:val="en-GB"/>
        </w:rPr>
        <w:t>of access</w:t>
      </w:r>
      <w:r w:rsidRPr="3CB7E75F" w:rsidR="723CFE29">
        <w:rPr>
          <w:rFonts w:ascii="Aptos" w:hAnsi="Aptos" w:eastAsia="Aptos" w:cs="Aptos"/>
          <w:lang w:val="en-GB"/>
        </w:rPr>
        <w:t xml:space="preserve"> portal. </w:t>
      </w:r>
    </w:p>
    <w:p w:rsidR="32B1B80F" w:rsidP="3CB7E75F" w:rsidRDefault="32B1B80F" w14:paraId="1C775D14" w14:textId="3D65A412">
      <w:r w:rsidRPr="3CB7E75F">
        <w:rPr>
          <w:rFonts w:ascii="Aptos" w:hAnsi="Aptos" w:eastAsia="Aptos" w:cs="Aptos"/>
          <w:lang w:val="en-GB"/>
        </w:rPr>
        <w:t xml:space="preserve"> </w:t>
      </w:r>
    </w:p>
    <w:p w:rsidR="32B1B80F" w:rsidP="3CB7E75F" w:rsidRDefault="32B1B80F" w14:paraId="2D7F8F63" w14:textId="0EBFEFCE">
      <w:r w:rsidRPr="3CB7E75F">
        <w:rPr>
          <w:rFonts w:ascii="Aptos" w:hAnsi="Aptos" w:eastAsia="Aptos" w:cs="Aptos"/>
          <w:lang w:val="en-GB"/>
        </w:rPr>
        <w:t>962 s</w:t>
      </w:r>
      <w:r w:rsidRPr="3CB7E75F" w:rsidR="46F1723D">
        <w:rPr>
          <w:rFonts w:ascii="Aptos" w:hAnsi="Aptos" w:eastAsia="Aptos" w:cs="Aptos"/>
          <w:lang w:val="en-GB"/>
        </w:rPr>
        <w:t xml:space="preserve">ection </w:t>
      </w:r>
      <w:r w:rsidRPr="3CB7E75F">
        <w:rPr>
          <w:rFonts w:ascii="Aptos" w:hAnsi="Aptos" w:eastAsia="Aptos" w:cs="Aptos"/>
          <w:lang w:val="en-GB"/>
        </w:rPr>
        <w:t xml:space="preserve">42 enquiries commenced in the year, of which 230 </w:t>
      </w:r>
      <w:r w:rsidRPr="3CB7E75F" w:rsidR="42E96331">
        <w:rPr>
          <w:rFonts w:ascii="Aptos" w:hAnsi="Aptos" w:eastAsia="Aptos" w:cs="Aptos"/>
          <w:lang w:val="en-GB"/>
        </w:rPr>
        <w:t xml:space="preserve">(24%) </w:t>
      </w:r>
      <w:r w:rsidRPr="3CB7E75F">
        <w:rPr>
          <w:rFonts w:ascii="Aptos" w:hAnsi="Aptos" w:eastAsia="Aptos" w:cs="Aptos"/>
          <w:lang w:val="en-GB"/>
        </w:rPr>
        <w:t xml:space="preserve">were raised by service providers, still the largest source but with a </w:t>
      </w:r>
      <w:r w:rsidRPr="3CB7E75F" w:rsidR="409769B1">
        <w:rPr>
          <w:rFonts w:ascii="Aptos" w:hAnsi="Aptos" w:eastAsia="Aptos" w:cs="Aptos"/>
          <w:lang w:val="en-GB"/>
        </w:rPr>
        <w:t>much-reduced</w:t>
      </w:r>
      <w:r w:rsidRPr="3CB7E75F">
        <w:rPr>
          <w:rFonts w:ascii="Aptos" w:hAnsi="Aptos" w:eastAsia="Aptos" w:cs="Aptos"/>
          <w:lang w:val="en-GB"/>
        </w:rPr>
        <w:t xml:space="preserve"> percentage. 16 “other” enquiries were commenced that had been raised by service providers (non-statutory enquiries).</w:t>
      </w:r>
    </w:p>
    <w:p w:rsidR="3CB7E75F" w:rsidP="3CB7E75F" w:rsidRDefault="3CB7E75F" w14:paraId="58891D5F" w14:textId="55C486FF">
      <w:pPr>
        <w:rPr>
          <w:rStyle w:val="Heading3Char"/>
          <w:rFonts w:ascii="Calibri" w:hAnsi="Calibri" w:cs="Calibri"/>
          <w:color w:val="auto"/>
          <w:lang w:val="en-GB"/>
        </w:rPr>
      </w:pPr>
    </w:p>
    <w:p w:rsidRPr="00466D0F" w:rsidR="004D40E6" w:rsidP="3CB7E75F" w:rsidRDefault="19AB271F" w14:paraId="02D7DBCE" w14:textId="327E1CDA">
      <w:pPr>
        <w:rPr>
          <w:rStyle w:val="Heading3Char"/>
          <w:rFonts w:asciiTheme="minorHAnsi" w:hAnsiTheme="minorHAnsi" w:eastAsiaTheme="minorEastAsia" w:cstheme="minorBidi"/>
          <w:color w:val="auto"/>
          <w:lang w:val="en-GB"/>
        </w:rPr>
      </w:pPr>
      <w:r w:rsidRPr="3CB7E75F">
        <w:rPr>
          <w:rStyle w:val="Heading3Char"/>
          <w:rFonts w:asciiTheme="minorHAnsi" w:hAnsiTheme="minorHAnsi" w:eastAsiaTheme="minorEastAsia" w:cstheme="minorBidi"/>
          <w:color w:val="auto"/>
          <w:lang w:val="en-GB"/>
        </w:rPr>
        <w:t xml:space="preserve">Further Safeguarding data can be found in the </w:t>
      </w:r>
      <w:r w:rsidRPr="3CB7E75F" w:rsidR="47F59125">
        <w:rPr>
          <w:rStyle w:val="Heading3Char"/>
          <w:rFonts w:asciiTheme="minorHAnsi" w:hAnsiTheme="minorHAnsi" w:eastAsiaTheme="minorEastAsia" w:cstheme="minorBidi"/>
          <w:color w:val="auto"/>
          <w:lang w:val="en-GB"/>
        </w:rPr>
        <w:t xml:space="preserve">Gloucestershire Adults Safeguarding Board Annual report. </w:t>
      </w:r>
    </w:p>
    <w:p w:rsidRPr="00466D0F" w:rsidR="00D2428D" w:rsidP="3CB7E75F" w:rsidRDefault="00D2428D" w14:paraId="405032EF" w14:textId="10D97F88">
      <w:pPr>
        <w:rPr>
          <w:rStyle w:val="Heading3Char"/>
          <w:rFonts w:ascii="Calibri" w:hAnsi="Calibri" w:cs="Calibri"/>
          <w:color w:val="auto"/>
          <w:lang w:val="en-GB"/>
        </w:rPr>
      </w:pPr>
    </w:p>
    <w:p w:rsidRPr="00466D0F" w:rsidR="001C3530" w:rsidP="004D40E6" w:rsidRDefault="001C3530" w14:paraId="4D11F8FB" w14:textId="31BF08A9">
      <w:pPr>
        <w:pStyle w:val="Heading2"/>
      </w:pPr>
      <w:bookmarkStart w:name="_Toc231656197" w:id="34"/>
      <w:r w:rsidRPr="00466D0F">
        <w:t>Working in Partnership to Safeguard</w:t>
      </w:r>
      <w:bookmarkEnd w:id="34"/>
    </w:p>
    <w:p w:rsidRPr="00466D0F" w:rsidR="00CF272F" w:rsidP="52E2D736" w:rsidRDefault="287142C1" w14:paraId="1CB6C4D6" w14:textId="7A3C7039">
      <w:pPr>
        <w:rPr>
          <w:kern w:val="2"/>
          <w:lang w:eastAsia="en-GB"/>
          <w14:ligatures w14:val="standardContextual"/>
        </w:rPr>
      </w:pPr>
      <w:r w:rsidRPr="52E2D736">
        <w:t>R</w:t>
      </w:r>
      <w:r w:rsidRPr="52E2D736" w:rsidR="0124A421">
        <w:t>eferrals and investigations relating to adults receiving care are shared with quality and contracts teams. This s</w:t>
      </w:r>
      <w:r w:rsidRPr="52E2D736" w:rsidR="246C96D6">
        <w:t>oft</w:t>
      </w:r>
      <w:r w:rsidRPr="52E2D736" w:rsidR="0124A421">
        <w:t xml:space="preserve"> intelligence is essential </w:t>
      </w:r>
      <w:r w:rsidRPr="52E2D736" w:rsidR="246C96D6">
        <w:t xml:space="preserve">to </w:t>
      </w:r>
      <w:r w:rsidRPr="52E2D736" w:rsidR="0124A421">
        <w:t>determining provider risk level</w:t>
      </w:r>
      <w:r w:rsidRPr="52E2D736" w:rsidR="246C96D6">
        <w:t xml:space="preserve"> and action required</w:t>
      </w:r>
      <w:r w:rsidRPr="52E2D736" w:rsidR="0124A421">
        <w:t xml:space="preserve">. </w:t>
      </w:r>
      <w:r w:rsidRPr="52E2D736" w:rsidR="63B5B66E">
        <w:t xml:space="preserve"> </w:t>
      </w:r>
      <w:r w:rsidRPr="52E2D736" w:rsidR="7823228A">
        <w:t>Fortnightly multi-agency meetings are held with quality, contracts, safeguarding, social care operations teams, and CQC to review providers of concern and share feedback from recent involvement.</w:t>
      </w:r>
    </w:p>
    <w:p w:rsidRPr="00466D0F" w:rsidR="00DD2B54" w:rsidP="00F010DE" w:rsidRDefault="00DD2B54" w14:paraId="48A1F1E8" w14:textId="77777777">
      <w:pPr>
        <w:rPr>
          <w:lang w:val="en-GB"/>
        </w:rPr>
      </w:pPr>
    </w:p>
    <w:p w:rsidRPr="00466D0F" w:rsidR="004F7F1A" w:rsidP="00F010DE" w:rsidRDefault="004F7F1A" w14:paraId="54C4D00E" w14:textId="299EB567">
      <w:r w:rsidRPr="3CB7E75F">
        <w:rPr>
          <w:lang w:val="en-GB"/>
        </w:rPr>
        <w:t xml:space="preserve">Safeguarding is a dominant focus of </w:t>
      </w:r>
      <w:r w:rsidRPr="3CB7E75F" w:rsidR="00585012">
        <w:rPr>
          <w:lang w:val="en-GB"/>
        </w:rPr>
        <w:t xml:space="preserve">the </w:t>
      </w:r>
      <w:r w:rsidRPr="3CB7E75F">
        <w:rPr>
          <w:lang w:val="en-GB"/>
        </w:rPr>
        <w:t>quality assessment</w:t>
      </w:r>
      <w:r w:rsidRPr="3CB7E75F" w:rsidR="00585012">
        <w:rPr>
          <w:lang w:val="en-GB"/>
        </w:rPr>
        <w:t xml:space="preserve"> framework and visit approach. Our visiting officers </w:t>
      </w:r>
      <w:r w:rsidRPr="3CB7E75F" w:rsidR="007E2F94">
        <w:rPr>
          <w:lang w:val="en-GB"/>
        </w:rPr>
        <w:t xml:space="preserve">have received training to </w:t>
      </w:r>
      <w:r w:rsidRPr="3CB7E75F" w:rsidR="00AC50D1">
        <w:rPr>
          <w:lang w:val="en-GB"/>
        </w:rPr>
        <w:t xml:space="preserve">ensure they </w:t>
      </w:r>
      <w:r w:rsidRPr="3CB7E75F" w:rsidR="007E2F94">
        <w:rPr>
          <w:lang w:val="en-GB"/>
        </w:rPr>
        <w:t xml:space="preserve">recognise and report potential abuse, </w:t>
      </w:r>
      <w:r w:rsidRPr="3CB7E75F" w:rsidR="00A04AEA">
        <w:rPr>
          <w:lang w:val="en-GB"/>
        </w:rPr>
        <w:t>and are able t</w:t>
      </w:r>
      <w:r w:rsidRPr="3CB7E75F" w:rsidR="004316C9">
        <w:rPr>
          <w:lang w:val="en-GB"/>
        </w:rPr>
        <w:t xml:space="preserve">o support providers to improve their safeguarding practices. </w:t>
      </w:r>
    </w:p>
    <w:p w:rsidRPr="00466D0F" w:rsidR="67781C0E" w:rsidP="3CB7E75F" w:rsidRDefault="67781C0E" w14:paraId="11371903" w14:textId="3CBEB413">
      <w:pPr>
        <w:rPr>
          <w:lang w:val="en-GB"/>
        </w:rPr>
      </w:pPr>
    </w:p>
    <w:p w:rsidRPr="00466D0F" w:rsidR="67781C0E" w:rsidP="3CB7E75F" w:rsidRDefault="4252A100" w14:paraId="254E20A7" w14:textId="369B27F2">
      <w:pPr>
        <w:rPr>
          <w:rFonts w:cs="Calibri"/>
          <w:lang w:val="en-GB"/>
        </w:rPr>
      </w:pPr>
      <w:r w:rsidRPr="3CB7E75F">
        <w:rPr>
          <w:rFonts w:cs="Calibri"/>
          <w:lang w:val="en-GB"/>
        </w:rPr>
        <w:t>There have been 2 providers in scope that have met the threshold for an organisational safeguarding investigation during 25/26. Quality engaged with both providers to support service improvement and reduce risks.</w:t>
      </w:r>
    </w:p>
    <w:p w:rsidRPr="00466D0F" w:rsidR="67781C0E" w:rsidP="00F010DE" w:rsidRDefault="67781C0E" w14:paraId="3D53FF52" w14:textId="628EFE3B">
      <w:pPr>
        <w:rPr>
          <w:rFonts w:cs="Calibri"/>
          <w:lang w:val="en-GB"/>
        </w:rPr>
      </w:pPr>
    </w:p>
    <w:p w:rsidRPr="00466D0F" w:rsidR="001C3530" w:rsidP="004D40E6" w:rsidRDefault="001C3530" w14:paraId="11DF322C" w14:textId="08BC0115">
      <w:pPr>
        <w:pStyle w:val="Heading2"/>
        <w:rPr>
          <w:kern w:val="2"/>
          <w:lang w:eastAsia="en-GB"/>
          <w14:ligatures w14:val="standardContextual"/>
        </w:rPr>
      </w:pPr>
      <w:bookmarkStart w:name="_Toc231656198" w:id="35"/>
      <w:r w:rsidRPr="00466D0F">
        <w:t>Provider Failure &amp; Market Risk</w:t>
      </w:r>
      <w:bookmarkEnd w:id="35"/>
    </w:p>
    <w:p w:rsidRPr="00466D0F" w:rsidR="0020503C" w:rsidP="00F010DE" w:rsidRDefault="0020503C" w14:paraId="45F2F40A" w14:textId="454397A6">
      <w:pPr>
        <w:rPr>
          <w:rStyle w:val="Heading3Char"/>
          <w:rFonts w:ascii="Calibri" w:hAnsi="Calibri" w:cs="Calibri"/>
          <w:color w:val="auto"/>
          <w:lang w:val="en-GB"/>
        </w:rPr>
      </w:pPr>
      <w:r w:rsidRPr="00466D0F">
        <w:rPr>
          <w:rStyle w:val="Heading3Char"/>
          <w:rFonts w:ascii="Calibri" w:hAnsi="Calibri" w:cs="Calibri"/>
          <w:color w:val="auto"/>
          <w:lang w:val="en-GB"/>
        </w:rPr>
        <w:t>A total of 13 domiciliary care providers ha</w:t>
      </w:r>
      <w:r w:rsidRPr="00466D0F" w:rsidR="00FB563A">
        <w:rPr>
          <w:rStyle w:val="Heading3Char"/>
          <w:rFonts w:ascii="Calibri" w:hAnsi="Calibri" w:cs="Calibri"/>
          <w:color w:val="auto"/>
          <w:lang w:val="en-GB"/>
        </w:rPr>
        <w:t>ve</w:t>
      </w:r>
      <w:r w:rsidRPr="00466D0F">
        <w:rPr>
          <w:rStyle w:val="Heading3Char"/>
          <w:rFonts w:ascii="Calibri" w:hAnsi="Calibri" w:cs="Calibri"/>
          <w:color w:val="auto"/>
          <w:lang w:val="en-GB"/>
        </w:rPr>
        <w:t xml:space="preserve"> exited the market during the reporting period. This includes providers that have been decommissioned, </w:t>
      </w:r>
      <w:r w:rsidRPr="00466D0F" w:rsidR="004F4BEB">
        <w:rPr>
          <w:rStyle w:val="Heading3Char"/>
          <w:rFonts w:ascii="Calibri" w:hAnsi="Calibri" w:cs="Calibri"/>
          <w:color w:val="auto"/>
          <w:lang w:val="en-GB"/>
        </w:rPr>
        <w:t xml:space="preserve">failed, </w:t>
      </w:r>
      <w:r w:rsidRPr="00466D0F">
        <w:rPr>
          <w:rStyle w:val="Heading3Char"/>
          <w:rFonts w:ascii="Calibri" w:hAnsi="Calibri" w:cs="Calibri"/>
          <w:color w:val="auto"/>
          <w:lang w:val="en-GB"/>
        </w:rPr>
        <w:t>acquired by other organisations, or have chosen to withdraw independently.</w:t>
      </w:r>
    </w:p>
    <w:p w:rsidRPr="00466D0F" w:rsidR="00D2428D" w:rsidP="00F010DE" w:rsidRDefault="00D2428D" w14:paraId="6D5714D5" w14:textId="77777777">
      <w:pPr>
        <w:rPr>
          <w:rStyle w:val="Heading3Char"/>
          <w:rFonts w:ascii="Calibri" w:hAnsi="Calibri" w:cs="Calibri"/>
          <w:color w:val="auto"/>
          <w:lang w:val="en-GB"/>
        </w:rPr>
      </w:pPr>
    </w:p>
    <w:p w:rsidRPr="00466D0F" w:rsidR="0020503C" w:rsidP="00F010DE" w:rsidRDefault="0020503C" w14:paraId="1488EF3D" w14:textId="4D291F34">
      <w:pPr>
        <w:rPr>
          <w:rStyle w:val="Heading3Char"/>
          <w:rFonts w:ascii="Calibri" w:hAnsi="Calibri" w:cs="Calibri"/>
          <w:color w:val="auto"/>
          <w:lang w:val="en-GB"/>
        </w:rPr>
      </w:pPr>
      <w:r w:rsidRPr="00466D0F">
        <w:rPr>
          <w:rStyle w:val="Heading3Char"/>
          <w:rFonts w:ascii="Calibri" w:hAnsi="Calibri" w:cs="Calibri"/>
          <w:color w:val="auto"/>
          <w:lang w:val="en-GB"/>
        </w:rPr>
        <w:t>There have been no care home closures reported in 2025/26. However, there have been 14 instances of ownership changes or market exits, including acquisitions and providers withdrawing services. In some cases, these decisions were influenced by providers opting not to continue operating at the commissioned fee rates.</w:t>
      </w:r>
    </w:p>
    <w:p w:rsidRPr="00466D0F" w:rsidR="00D2428D" w:rsidP="00F010DE" w:rsidRDefault="00D2428D" w14:paraId="2FEA2D62" w14:textId="77777777">
      <w:pPr>
        <w:rPr>
          <w:rStyle w:val="Heading3Char"/>
          <w:rFonts w:ascii="Calibri" w:hAnsi="Calibri" w:cs="Calibri"/>
          <w:color w:val="auto"/>
          <w:lang w:val="en-GB"/>
        </w:rPr>
      </w:pPr>
    </w:p>
    <w:p w:rsidRPr="00466D0F" w:rsidR="67781C0E" w:rsidP="00F010DE" w:rsidRDefault="009D54FB" w14:paraId="335C825B" w14:textId="7149DC84">
      <w:pPr>
        <w:rPr>
          <w:rFonts w:cs="Calibri"/>
          <w:lang w:val="en-GB"/>
        </w:rPr>
      </w:pPr>
      <w:r w:rsidRPr="00466D0F">
        <w:rPr>
          <w:rStyle w:val="Heading3Char"/>
          <w:rFonts w:ascii="Calibri" w:hAnsi="Calibri" w:cs="Calibri"/>
          <w:color w:val="auto"/>
          <w:lang w:val="en-GB"/>
        </w:rPr>
        <w:t xml:space="preserve">11 </w:t>
      </w:r>
      <w:r w:rsidRPr="00466D0F" w:rsidR="00380827">
        <w:rPr>
          <w:rStyle w:val="Heading3Char"/>
          <w:rFonts w:ascii="Calibri" w:hAnsi="Calibri" w:cs="Calibri"/>
          <w:color w:val="auto"/>
          <w:lang w:val="en-GB"/>
        </w:rPr>
        <w:t>c</w:t>
      </w:r>
      <w:r w:rsidRPr="00466D0F">
        <w:rPr>
          <w:rStyle w:val="Heading3Char"/>
          <w:rFonts w:ascii="Calibri" w:hAnsi="Calibri" w:cs="Calibri"/>
          <w:color w:val="auto"/>
          <w:lang w:val="en-GB"/>
        </w:rPr>
        <w:t xml:space="preserve">ommunity services (in addition to </w:t>
      </w:r>
      <w:r w:rsidRPr="00466D0F" w:rsidR="00380827">
        <w:rPr>
          <w:rStyle w:val="Heading3Char"/>
          <w:rFonts w:ascii="Calibri" w:hAnsi="Calibri" w:cs="Calibri"/>
          <w:color w:val="auto"/>
          <w:lang w:val="en-GB"/>
        </w:rPr>
        <w:t xml:space="preserve">the </w:t>
      </w:r>
      <w:r w:rsidRPr="00466D0F" w:rsidR="000F0BF4">
        <w:rPr>
          <w:rStyle w:val="Heading3Char"/>
          <w:rFonts w:ascii="Calibri" w:hAnsi="Calibri" w:cs="Calibri"/>
          <w:color w:val="auto"/>
          <w:lang w:val="en-GB"/>
        </w:rPr>
        <w:t xml:space="preserve">13 </w:t>
      </w:r>
      <w:r w:rsidRPr="00466D0F" w:rsidR="00380827">
        <w:rPr>
          <w:rStyle w:val="Heading3Char"/>
          <w:rFonts w:ascii="Calibri" w:hAnsi="Calibri" w:cs="Calibri"/>
          <w:color w:val="auto"/>
          <w:lang w:val="en-GB"/>
        </w:rPr>
        <w:t xml:space="preserve">domiciliary care services) </w:t>
      </w:r>
      <w:r w:rsidRPr="00466D0F" w:rsidR="003E27AF">
        <w:rPr>
          <w:rStyle w:val="Heading3Char"/>
          <w:rFonts w:ascii="Calibri" w:hAnsi="Calibri" w:cs="Calibri"/>
          <w:color w:val="auto"/>
          <w:lang w:val="en-GB"/>
        </w:rPr>
        <w:t>have exited the market.</w:t>
      </w:r>
    </w:p>
    <w:p w:rsidRPr="00466D0F" w:rsidR="00D344E9" w:rsidP="00F010DE" w:rsidRDefault="00D344E9" w14:paraId="046CCCE7" w14:textId="77777777">
      <w:pPr>
        <w:rPr>
          <w:rFonts w:cs="Calibri"/>
          <w:lang w:val="en-GB"/>
        </w:rPr>
      </w:pPr>
    </w:p>
    <w:p w:rsidRPr="00466D0F" w:rsidR="006F545E" w:rsidP="00F010DE" w:rsidRDefault="006F545E" w14:paraId="5593AC5E" w14:textId="77777777">
      <w:pPr>
        <w:rPr>
          <w:rFonts w:eastAsia="Times New Roman" w:cs="Calibri"/>
          <w:lang w:val="en-GB" w:eastAsia="en-GB"/>
        </w:rPr>
      </w:pPr>
      <w:r w:rsidRPr="00466D0F">
        <w:rPr>
          <w:rFonts w:eastAsia="Times New Roman" w:cs="Calibri"/>
          <w:lang w:val="en-GB" w:eastAsia="en-GB"/>
        </w:rPr>
        <w:t>There is ongoing monitoring of providers’ legal status, governance, and financial position to support effective contract management. Alerts are established through Companies House using each supplier’s Company Registration Number, enabling notifications to be received whenever statutory filings are made. This provides timely visibility of key changes, including updates to directors, registered addresses, and ownership structures, supporting the early identification of potential risks. These alerts are directed to a centralised inbox, which is monitored by the Contracts Team to ensure appropriate review and follow-up action where required. This approach represents a proportionate and systematic method of maintaining supplier oversight and mitigating contractual and operational risk.</w:t>
      </w:r>
    </w:p>
    <w:p w:rsidRPr="00466D0F" w:rsidR="00E359C0" w:rsidP="00F010DE" w:rsidRDefault="00E359C0" w14:paraId="278569BD" w14:textId="77777777">
      <w:pPr>
        <w:rPr>
          <w:rFonts w:eastAsia="Times New Roman" w:cs="Calibri"/>
          <w:lang w:val="en-GB" w:eastAsia="en-GB"/>
        </w:rPr>
      </w:pPr>
    </w:p>
    <w:p w:rsidRPr="00466D0F" w:rsidR="006F545E" w:rsidP="00F010DE" w:rsidRDefault="006F545E" w14:paraId="1D487488" w14:textId="77777777">
      <w:pPr>
        <w:rPr>
          <w:rFonts w:eastAsia="Times New Roman" w:cs="Calibri"/>
          <w:lang w:val="en-GB" w:eastAsia="en-GB"/>
        </w:rPr>
      </w:pPr>
      <w:r w:rsidRPr="00466D0F">
        <w:rPr>
          <w:rFonts w:eastAsia="Times New Roman" w:cs="Calibri"/>
          <w:lang w:val="en-GB" w:eastAsia="en-GB"/>
        </w:rPr>
        <w:t>As a minimum requirement, all contracts are subject to an annual review of company accounts. For higher-value and higher-risk contracts, enhanced monitoring arrangements are in place, incorporating more frequent and detailed oversight activity to ensure risks are effectively managed and service delivery is maintained.</w:t>
      </w:r>
    </w:p>
    <w:p w:rsidRPr="00466D0F" w:rsidR="00A37560" w:rsidP="00F010DE" w:rsidRDefault="00A37560" w14:paraId="51C14008" w14:textId="47482A71">
      <w:pPr>
        <w:rPr>
          <w:rFonts w:eastAsia="Times New Roman" w:cs="Calibri"/>
          <w:lang w:val="en-GB" w:eastAsia="en-GB"/>
        </w:rPr>
      </w:pPr>
    </w:p>
    <w:p w:rsidRPr="00466D0F" w:rsidR="002D1B87" w:rsidP="00F010DE" w:rsidRDefault="002D1B87" w14:paraId="3F84AF07" w14:textId="77777777">
      <w:pPr>
        <w:rPr>
          <w:rFonts w:eastAsia="Times New Roman" w:cs="Calibri"/>
          <w:lang w:val="en-GB" w:eastAsia="en-GB"/>
        </w:rPr>
      </w:pPr>
      <w:r w:rsidRPr="00466D0F">
        <w:rPr>
          <w:rFonts w:eastAsia="Times New Roman" w:cs="Calibri"/>
          <w:lang w:val="en-GB" w:eastAsia="en-GB"/>
        </w:rPr>
        <w:t>Continuity of care is assessed as part of the provider self-assessment process. This includes confirming that a business continuity plan is in place, regularly reviewed, and kept up to date. Providers are required to demonstrate that their plans reflect a range of potential risks and scenarios, including changes in demand and demographics, environmental emergencies, staffing shortages, information governance requirements, data and cyber security risks, pandemic response, and overall business sustainability.</w:t>
      </w:r>
    </w:p>
    <w:p w:rsidRPr="00466D0F" w:rsidR="00BC5417" w:rsidP="00F010DE" w:rsidRDefault="00BC5417" w14:paraId="21CF03BB" w14:textId="77777777">
      <w:pPr>
        <w:rPr>
          <w:rFonts w:eastAsia="Times New Roman" w:cs="Calibri"/>
          <w:lang w:val="en-GB" w:eastAsia="en-GB"/>
        </w:rPr>
      </w:pPr>
    </w:p>
    <w:p w:rsidRPr="00466D0F" w:rsidR="002D1B87" w:rsidP="00F010DE" w:rsidRDefault="002D1B87" w14:paraId="603B6A9F" w14:textId="77777777">
      <w:pPr>
        <w:rPr>
          <w:rFonts w:eastAsia="Times New Roman" w:cs="Calibri"/>
          <w:lang w:val="en-GB" w:eastAsia="en-GB"/>
        </w:rPr>
      </w:pPr>
      <w:r w:rsidRPr="00466D0F">
        <w:rPr>
          <w:rFonts w:eastAsia="Times New Roman" w:cs="Calibri"/>
          <w:lang w:val="en-GB" w:eastAsia="en-GB"/>
        </w:rPr>
        <w:t>In addition, providers are asked to evidence how the effectiveness of their business continuity arrangements is assured. This includes demonstrating that plans are subject to testing (for example, through scenario exercises) and that they are reviewed within a formal governance framework to ensure they remain robust, relevant, and fit for purpose.</w:t>
      </w:r>
    </w:p>
    <w:p w:rsidRPr="00466D0F" w:rsidR="002D1B87" w:rsidP="00F010DE" w:rsidRDefault="002D1B87" w14:paraId="2C3F93E7" w14:textId="77777777">
      <w:pPr>
        <w:rPr>
          <w:rFonts w:eastAsia="Times New Roman" w:cs="Calibri"/>
          <w:lang w:val="en-GB" w:eastAsia="en-GB"/>
        </w:rPr>
      </w:pPr>
    </w:p>
    <w:p w:rsidRPr="00466D0F" w:rsidR="00BD7CEC" w:rsidP="00F010DE" w:rsidRDefault="00BD7CEC" w14:paraId="64B6E8BF" w14:textId="77777777">
      <w:pPr>
        <w:rPr>
          <w:rFonts w:eastAsia="Times New Roman" w:cs="Calibri"/>
          <w:lang w:val="en-GB" w:eastAsia="en-GB"/>
        </w:rPr>
      </w:pPr>
      <w:r w:rsidRPr="00466D0F">
        <w:rPr>
          <w:rFonts w:eastAsia="Times New Roman" w:cs="Calibri"/>
          <w:lang w:val="en-GB" w:eastAsia="en-GB"/>
        </w:rPr>
        <w:t>Provider market share is monitored by the Contracts Team on a quarterly basis. Current analysis indicates that no single provider accounts for more than 5% of the market across the county, demonstrating that there is no over-reliance on any individual provider.</w:t>
      </w:r>
    </w:p>
    <w:p w:rsidRPr="00466D0F" w:rsidR="001D7A14" w:rsidP="00F010DE" w:rsidRDefault="001D7A14" w14:paraId="5676C273" w14:textId="77777777">
      <w:pPr>
        <w:rPr>
          <w:rFonts w:eastAsia="Times New Roman" w:cs="Calibri"/>
          <w:lang w:val="en-GB" w:eastAsia="en-GB"/>
        </w:rPr>
      </w:pPr>
    </w:p>
    <w:p w:rsidRPr="00466D0F" w:rsidR="004D40E6" w:rsidP="004D40E6" w:rsidRDefault="004D40E6" w14:paraId="09856E71" w14:textId="35CE7A72">
      <w:pPr>
        <w:pStyle w:val="Heading1"/>
      </w:pPr>
      <w:bookmarkStart w:name="_Toc231656199" w:id="36"/>
      <w:r w:rsidRPr="00466D0F">
        <w:t>People’s Experience</w:t>
      </w:r>
      <w:bookmarkEnd w:id="36"/>
    </w:p>
    <w:p w:rsidRPr="00466D0F" w:rsidR="004D40E6" w:rsidP="004D40E6" w:rsidRDefault="004D40E6" w14:paraId="5EEA9D8C" w14:textId="77777777">
      <w:pPr>
        <w:rPr>
          <w:lang w:val="en-GB"/>
        </w:rPr>
      </w:pPr>
    </w:p>
    <w:p w:rsidRPr="00466D0F" w:rsidR="007D59E7" w:rsidP="004D40E6" w:rsidRDefault="004D40E6" w14:paraId="2AB6C755" w14:textId="6A13D0B7">
      <w:pPr>
        <w:rPr>
          <w:kern w:val="2"/>
          <w:lang w:val="en-GB" w:eastAsia="en-GB"/>
          <w14:ligatures w14:val="standardContextual"/>
        </w:rPr>
      </w:pPr>
      <w:r w:rsidRPr="00466D0F">
        <w:rPr>
          <w:lang w:val="en-GB"/>
        </w:rPr>
        <w:t xml:space="preserve">Listening to the voice of people using services is central to ASC’s approach to quality. The Expert by Experience programme and Enter and View visits remain core components of the quality assurance framework, placing lived experience at the centre of how care quality is understood. Evidence from these routes, alongside complaints, compliments and wider intelligence, highlights both the strengths </w:t>
      </w:r>
      <w:r w:rsidRPr="00466D0F" w:rsidR="007D59E7">
        <w:rPr>
          <w:lang w:val="en-GB"/>
        </w:rPr>
        <w:t>of compassionate, person-centred care and the areas where improvement is still required, particularly in safety, consistency, communication and meaningful engagement. While insight is improving, gaps remain in coverage and in understanding the experience of some groups, including self-funders and seldom-heard communities. Ongoing development of the People’s Experience approach is intended to strengthen this evidence base and ensure lived experience more directly informs service improvement and commissioning priorities.</w:t>
      </w:r>
    </w:p>
    <w:p w:rsidRPr="00466D0F" w:rsidR="000C4D40" w:rsidP="00F010DE" w:rsidRDefault="000C4D40" w14:paraId="50A6EECF" w14:textId="77777777">
      <w:pPr>
        <w:rPr>
          <w:lang w:val="en-GB"/>
        </w:rPr>
      </w:pPr>
    </w:p>
    <w:p w:rsidRPr="00466D0F" w:rsidR="001C3530" w:rsidP="004D40E6" w:rsidRDefault="001C3530" w14:paraId="11B87D15" w14:textId="57EA1950">
      <w:pPr>
        <w:pStyle w:val="Heading2"/>
        <w:rPr>
          <w:kern w:val="2"/>
          <w:lang w:eastAsia="en-GB"/>
          <w14:ligatures w14:val="standardContextual"/>
        </w:rPr>
      </w:pPr>
      <w:bookmarkStart w:name="_Toc231656200" w:id="37"/>
      <w:r w:rsidRPr="00466D0F">
        <w:t>Expert by Experience</w:t>
      </w:r>
      <w:bookmarkEnd w:id="37"/>
    </w:p>
    <w:p w:rsidRPr="00466D0F" w:rsidR="000C4D40" w:rsidP="00F010DE" w:rsidRDefault="000C4D40" w14:paraId="5D0C0624" w14:textId="365850E2">
      <w:pPr>
        <w:rPr>
          <w:rFonts w:cs="Calibri"/>
          <w:lang w:val="en-GB"/>
        </w:rPr>
      </w:pPr>
      <w:r w:rsidRPr="00466D0F">
        <w:rPr>
          <w:rFonts w:cs="Calibri"/>
          <w:lang w:val="en-GB"/>
        </w:rPr>
        <w:t>During 2025/26, activity levels within the EbE programme showed a slight reduction in total visits compared to the previous year, driven by changes in delivery capacity. However, this did not materially impact initial quality assurance coverage. Key indicators demonstrate:</w:t>
      </w:r>
    </w:p>
    <w:p w:rsidRPr="00466D0F" w:rsidR="00E14454" w:rsidP="00F010DE" w:rsidRDefault="00E14454" w14:paraId="43976C66" w14:textId="77777777">
      <w:pPr>
        <w:rPr>
          <w:rFonts w:cs="Calibri"/>
          <w:lang w:val="en-GB"/>
        </w:rPr>
      </w:pPr>
    </w:p>
    <w:p w:rsidRPr="00466D0F" w:rsidR="000C4D40" w:rsidP="00F010DE" w:rsidRDefault="000C4D40" w14:paraId="31547F0D" w14:textId="77777777">
      <w:pPr>
        <w:pStyle w:val="ListParagraph"/>
        <w:numPr>
          <w:ilvl w:val="0"/>
          <w:numId w:val="19"/>
        </w:numPr>
        <w:rPr>
          <w:rFonts w:cs="Calibri"/>
          <w:lang w:val="en-GB"/>
        </w:rPr>
      </w:pPr>
      <w:r w:rsidRPr="00466D0F">
        <w:rPr>
          <w:rFonts w:cs="Calibri"/>
          <w:lang w:val="en-GB"/>
        </w:rPr>
        <w:t>Sustained delivery of quality visits across residential, supported living, domiciliary care, and day services</w:t>
      </w:r>
    </w:p>
    <w:p w:rsidRPr="00466D0F" w:rsidR="000C4D40" w:rsidP="00F010DE" w:rsidRDefault="000C4D40" w14:paraId="119AE5C0" w14:textId="77777777">
      <w:pPr>
        <w:pStyle w:val="ListParagraph"/>
        <w:numPr>
          <w:ilvl w:val="0"/>
          <w:numId w:val="19"/>
        </w:numPr>
        <w:rPr>
          <w:rFonts w:cs="Calibri"/>
          <w:lang w:val="en-GB"/>
        </w:rPr>
      </w:pPr>
      <w:r w:rsidRPr="00466D0F">
        <w:rPr>
          <w:rFonts w:cs="Calibri"/>
          <w:lang w:val="en-GB"/>
        </w:rPr>
        <w:t>A reduction in follow-up visits, reflecting improvements in provider quality and reduced need for repeat intervention .</w:t>
      </w:r>
    </w:p>
    <w:p w:rsidRPr="00466D0F" w:rsidR="000C4D40" w:rsidP="00F010DE" w:rsidRDefault="000C4D40" w14:paraId="7E6CA9EC" w14:textId="77777777">
      <w:pPr>
        <w:pStyle w:val="ListParagraph"/>
        <w:numPr>
          <w:ilvl w:val="0"/>
          <w:numId w:val="19"/>
        </w:numPr>
        <w:rPr>
          <w:rFonts w:cs="Calibri"/>
          <w:lang w:val="en-GB"/>
        </w:rPr>
      </w:pPr>
      <w:r w:rsidRPr="00466D0F">
        <w:rPr>
          <w:rFonts w:cs="Calibri"/>
          <w:lang w:val="en-GB"/>
        </w:rPr>
        <w:t xml:space="preserve">An overall positive trend in provider ratings following EbE engagement, suggesting that quality improvement activity is having impact </w:t>
      </w:r>
    </w:p>
    <w:p w:rsidRPr="00466D0F" w:rsidR="00E14454" w:rsidP="00F010DE" w:rsidRDefault="00E14454" w14:paraId="0F13CB66" w14:textId="77777777">
      <w:pPr>
        <w:pStyle w:val="ListParagraph"/>
        <w:rPr>
          <w:rFonts w:cs="Calibri"/>
          <w:lang w:val="en-GB"/>
        </w:rPr>
      </w:pPr>
    </w:p>
    <w:p w:rsidRPr="00466D0F" w:rsidR="000C4D40" w:rsidP="00F010DE" w:rsidRDefault="000C4D40" w14:paraId="3CFF5F00" w14:textId="60746464">
      <w:pPr>
        <w:rPr>
          <w:rFonts w:cs="Calibri"/>
          <w:lang w:val="en-GB"/>
        </w:rPr>
      </w:pPr>
      <w:r w:rsidRPr="00466D0F">
        <w:rPr>
          <w:rFonts w:cs="Calibri"/>
          <w:lang w:val="en-GB"/>
        </w:rPr>
        <w:t>Despite these improvements, areas such as safety (“I am safe”) remain the weakest performing domain, indicating ongoing challenges in ensuring consistent safe care across the market. Thematic findings from EbE visits identified key areas requiring improvement, including:</w:t>
      </w:r>
    </w:p>
    <w:p w:rsidRPr="00466D0F" w:rsidR="00942B5E" w:rsidP="00F010DE" w:rsidRDefault="00942B5E" w14:paraId="5E9FDD76" w14:textId="77777777">
      <w:pPr>
        <w:rPr>
          <w:rFonts w:cs="Calibri"/>
          <w:lang w:val="en-GB"/>
        </w:rPr>
      </w:pPr>
    </w:p>
    <w:p w:rsidRPr="00466D0F" w:rsidR="000C4D40" w:rsidP="00F010DE" w:rsidRDefault="000C4D40" w14:paraId="2BEC5DAA" w14:textId="77777777">
      <w:pPr>
        <w:pStyle w:val="ListParagraph"/>
        <w:numPr>
          <w:ilvl w:val="0"/>
          <w:numId w:val="18"/>
        </w:numPr>
        <w:rPr>
          <w:rFonts w:cs="Calibri"/>
          <w:lang w:val="en-GB"/>
        </w:rPr>
      </w:pPr>
      <w:r w:rsidRPr="00466D0F">
        <w:rPr>
          <w:rFonts w:cs="Calibri"/>
          <w:lang w:val="en-GB"/>
        </w:rPr>
        <w:t>Activities and meaningful engagement</w:t>
      </w:r>
    </w:p>
    <w:p w:rsidRPr="00466D0F" w:rsidR="000C4D40" w:rsidP="00F010DE" w:rsidRDefault="000C4D40" w14:paraId="25D2145B" w14:textId="77777777">
      <w:pPr>
        <w:pStyle w:val="ListParagraph"/>
        <w:numPr>
          <w:ilvl w:val="0"/>
          <w:numId w:val="18"/>
        </w:numPr>
        <w:rPr>
          <w:rFonts w:cs="Calibri"/>
          <w:lang w:val="en-GB"/>
        </w:rPr>
      </w:pPr>
      <w:r w:rsidRPr="00466D0F">
        <w:rPr>
          <w:rFonts w:cs="Calibri"/>
          <w:lang w:val="en-GB"/>
        </w:rPr>
        <w:t>Record keeping and documentation</w:t>
      </w:r>
    </w:p>
    <w:p w:rsidRPr="00466D0F" w:rsidR="000C4D40" w:rsidP="00F010DE" w:rsidRDefault="000C4D40" w14:paraId="0763B97C" w14:textId="77777777">
      <w:pPr>
        <w:pStyle w:val="ListParagraph"/>
        <w:numPr>
          <w:ilvl w:val="0"/>
          <w:numId w:val="18"/>
        </w:numPr>
        <w:rPr>
          <w:rFonts w:cs="Calibri"/>
          <w:lang w:val="en-GB"/>
        </w:rPr>
      </w:pPr>
      <w:r w:rsidRPr="00466D0F">
        <w:rPr>
          <w:rFonts w:cs="Calibri"/>
          <w:lang w:val="en-GB"/>
        </w:rPr>
        <w:t>Staff training, support, and approach</w:t>
      </w:r>
    </w:p>
    <w:p w:rsidRPr="00466D0F" w:rsidR="000C4D40" w:rsidP="00F010DE" w:rsidRDefault="000C4D40" w14:paraId="17CF7608" w14:textId="77777777">
      <w:pPr>
        <w:pStyle w:val="ListParagraph"/>
        <w:numPr>
          <w:ilvl w:val="0"/>
          <w:numId w:val="18"/>
        </w:numPr>
        <w:rPr>
          <w:rFonts w:cs="Calibri"/>
          <w:lang w:val="en-GB"/>
        </w:rPr>
      </w:pPr>
      <w:r w:rsidRPr="00466D0F">
        <w:rPr>
          <w:rFonts w:cs="Calibri"/>
          <w:lang w:val="en-GB"/>
        </w:rPr>
        <w:t xml:space="preserve">Managing complaints and relationships </w:t>
      </w:r>
    </w:p>
    <w:p w:rsidRPr="00466D0F" w:rsidR="00942B5E" w:rsidP="00F010DE" w:rsidRDefault="00942B5E" w14:paraId="3192E4A2" w14:textId="77777777">
      <w:pPr>
        <w:rPr>
          <w:rFonts w:cs="Calibri"/>
          <w:lang w:val="en-GB"/>
        </w:rPr>
      </w:pPr>
    </w:p>
    <w:p w:rsidRPr="00466D0F" w:rsidR="000C4D40" w:rsidP="00F010DE" w:rsidRDefault="000C4D40" w14:paraId="0CEFDC4A" w14:textId="77777777">
      <w:pPr>
        <w:rPr>
          <w:rFonts w:cs="Calibri"/>
          <w:lang w:val="en-GB"/>
        </w:rPr>
      </w:pPr>
      <w:r w:rsidRPr="00466D0F">
        <w:rPr>
          <w:rFonts w:cs="Calibri"/>
          <w:lang w:val="en-GB"/>
        </w:rPr>
        <w:t>Importantly, the programme continues to strengthen participation and insight, enabling people who use services to directly influence quality improvement and highlighting issues, including safeguarding concerns that may not otherwise be identified.</w:t>
      </w:r>
    </w:p>
    <w:p w:rsidRPr="00466D0F" w:rsidR="000C4D40" w:rsidP="00F010DE" w:rsidRDefault="000C4D40" w14:paraId="68E2AC04" w14:textId="77777777">
      <w:pPr>
        <w:rPr>
          <w:rFonts w:cs="Calibri"/>
          <w:lang w:val="en-GB"/>
        </w:rPr>
      </w:pPr>
    </w:p>
    <w:p w:rsidRPr="00466D0F" w:rsidR="000C4D40" w:rsidP="00F010DE" w:rsidRDefault="000C4D40" w14:paraId="5AEE0AF0" w14:textId="77777777">
      <w:pPr>
        <w:rPr>
          <w:rFonts w:cs="Calibri"/>
          <w:lang w:val="en-GB"/>
        </w:rPr>
      </w:pPr>
      <w:r w:rsidRPr="00466D0F">
        <w:rPr>
          <w:rFonts w:cs="Calibri"/>
          <w:lang w:val="en-GB"/>
        </w:rPr>
        <w:t xml:space="preserve">Enter and View visits have also continued to provide an important, independent source of insight into the lived experience of care. Enter and View activity prioritises direct engagement with people receiving care, using accessible and flexible methods to ensure that a wide range of voices are heard, including those who may not otherwise participate in formal feedback mechanisms. </w:t>
      </w:r>
    </w:p>
    <w:p w:rsidRPr="00466D0F" w:rsidR="000C4D40" w:rsidP="00F010DE" w:rsidRDefault="000C4D40" w14:paraId="79269232" w14:textId="77777777">
      <w:pPr>
        <w:rPr>
          <w:rFonts w:cs="Calibri"/>
          <w:lang w:val="en-GB"/>
        </w:rPr>
      </w:pPr>
    </w:p>
    <w:p w:rsidRPr="00466D0F" w:rsidR="000C4D40" w:rsidP="00F010DE" w:rsidRDefault="000C4D40" w14:paraId="57C36F6A" w14:textId="77777777">
      <w:pPr>
        <w:rPr>
          <w:rFonts w:cs="Calibri"/>
          <w:lang w:val="en-GB"/>
        </w:rPr>
      </w:pPr>
      <w:r w:rsidRPr="00466D0F">
        <w:rPr>
          <w:rFonts w:cs="Calibri"/>
          <w:lang w:val="en-GB"/>
        </w:rPr>
        <w:t xml:space="preserve">Insights gathered from these visits contribute to a richer understanding of quality across the market, identifying strengths in areas such as compassionate care, relationships, and support for independence, while also highlighting opportunities for improvement. Findings are shared with providers through structured feedback reports, supporting reflective practice and proportionate improvement planning. </w:t>
      </w:r>
    </w:p>
    <w:p w:rsidRPr="00466D0F" w:rsidR="000C4D40" w:rsidP="00F010DE" w:rsidRDefault="000C4D40" w14:paraId="7F961B08" w14:textId="77777777">
      <w:pPr>
        <w:rPr>
          <w:rFonts w:cs="Calibri"/>
          <w:lang w:val="en-GB"/>
        </w:rPr>
      </w:pPr>
    </w:p>
    <w:p w:rsidRPr="00466D0F" w:rsidR="000C4D40" w:rsidP="00F010DE" w:rsidRDefault="000C4D40" w14:paraId="3C9806D4" w14:textId="77777777">
      <w:pPr>
        <w:rPr>
          <w:rFonts w:cs="Calibri"/>
          <w:lang w:val="en-GB"/>
        </w:rPr>
      </w:pPr>
      <w:r w:rsidRPr="00466D0F">
        <w:rPr>
          <w:rFonts w:cs="Calibri"/>
          <w:lang w:val="en-GB"/>
        </w:rPr>
        <w:t>Enter and View visits play a key role in strengthening co-production, improving transparency, and ensuring that lived experience remains central to how quality is understood, monitored, and improved across adult social care in Gloucestershire.</w:t>
      </w:r>
    </w:p>
    <w:p w:rsidRPr="00466D0F" w:rsidR="000C4D40" w:rsidP="00F010DE" w:rsidRDefault="000C4D40" w14:paraId="03F9FC52" w14:textId="77777777">
      <w:pPr>
        <w:jc w:val="both"/>
        <w:rPr>
          <w:rFonts w:cs="Calibri"/>
          <w:lang w:val="en-GB"/>
        </w:rPr>
      </w:pPr>
    </w:p>
    <w:p w:rsidRPr="00466D0F" w:rsidR="001C3530" w:rsidP="004D40E6" w:rsidRDefault="001C3530" w14:paraId="05DCE063" w14:textId="2954995F">
      <w:pPr>
        <w:pStyle w:val="Heading2"/>
        <w:rPr>
          <w:kern w:val="2"/>
          <w:lang w:eastAsia="en-GB"/>
          <w14:ligatures w14:val="standardContextual"/>
        </w:rPr>
      </w:pPr>
      <w:bookmarkStart w:name="_Toc231656201" w:id="38"/>
      <w:r w:rsidRPr="00466D0F">
        <w:t>User and carer feedback</w:t>
      </w:r>
      <w:bookmarkEnd w:id="38"/>
    </w:p>
    <w:p w:rsidRPr="00466D0F" w:rsidR="001A26A4" w:rsidP="00F010DE" w:rsidRDefault="001A26A4" w14:paraId="78E8C560" w14:textId="77777777">
      <w:pPr>
        <w:rPr>
          <w:kern w:val="2"/>
          <w:lang w:val="en-GB" w:eastAsia="en-GB"/>
          <w14:ligatures w14:val="standardContextual"/>
        </w:rPr>
      </w:pPr>
      <w:r w:rsidRPr="00466D0F">
        <w:rPr>
          <w:lang w:val="en-GB"/>
        </w:rPr>
        <w:t>User and carer feedback gathered through quality assurance activity, complaints, compliments and wider engagement highlights a number of consistent themes. Key themes emerging from this feedback include:</w:t>
      </w:r>
    </w:p>
    <w:p w:rsidRPr="00466D0F" w:rsidR="000C4D40" w:rsidP="00F010DE" w:rsidRDefault="000C4D40" w14:paraId="5BD5DAE9" w14:textId="77777777">
      <w:pPr>
        <w:pStyle w:val="ListParagraph"/>
        <w:numPr>
          <w:ilvl w:val="0"/>
          <w:numId w:val="21"/>
        </w:numPr>
        <w:rPr>
          <w:rFonts w:cs="Calibri"/>
          <w:lang w:val="en-GB"/>
        </w:rPr>
      </w:pPr>
      <w:r w:rsidRPr="00466D0F">
        <w:rPr>
          <w:rFonts w:cs="Calibri"/>
          <w:lang w:val="en-GB"/>
        </w:rPr>
        <w:t>Positive experiences linked to staff compassion, continuity, and person-centred care</w:t>
      </w:r>
    </w:p>
    <w:p w:rsidRPr="00466D0F" w:rsidR="000C4D40" w:rsidP="00F010DE" w:rsidRDefault="000C4D40" w14:paraId="363BF357" w14:textId="77777777">
      <w:pPr>
        <w:pStyle w:val="ListParagraph"/>
        <w:numPr>
          <w:ilvl w:val="0"/>
          <w:numId w:val="21"/>
        </w:numPr>
        <w:rPr>
          <w:rFonts w:cs="Calibri"/>
          <w:lang w:val="en-GB"/>
        </w:rPr>
      </w:pPr>
      <w:r w:rsidRPr="00466D0F">
        <w:rPr>
          <w:rFonts w:cs="Calibri"/>
          <w:lang w:val="en-GB"/>
        </w:rPr>
        <w:t>The importance of communication, particularly with families and carers</w:t>
      </w:r>
    </w:p>
    <w:p w:rsidRPr="00466D0F" w:rsidR="000C4D40" w:rsidP="00F010DE" w:rsidRDefault="000C4D40" w14:paraId="34F3159E" w14:textId="77777777">
      <w:pPr>
        <w:pStyle w:val="ListParagraph"/>
        <w:numPr>
          <w:ilvl w:val="0"/>
          <w:numId w:val="21"/>
        </w:numPr>
        <w:rPr>
          <w:rFonts w:cs="Calibri"/>
          <w:lang w:val="en-GB"/>
        </w:rPr>
      </w:pPr>
      <w:r w:rsidRPr="00466D0F">
        <w:rPr>
          <w:rFonts w:cs="Calibri"/>
          <w:lang w:val="en-GB"/>
        </w:rPr>
        <w:t>Variation in experience across services, with inconsistency remaining a key concern</w:t>
      </w:r>
    </w:p>
    <w:p w:rsidRPr="00466D0F" w:rsidR="000C4D40" w:rsidP="00F010DE" w:rsidRDefault="000C4D40" w14:paraId="6C910D09" w14:textId="77777777">
      <w:pPr>
        <w:pStyle w:val="ListParagraph"/>
        <w:numPr>
          <w:ilvl w:val="0"/>
          <w:numId w:val="21"/>
        </w:numPr>
        <w:rPr>
          <w:rFonts w:cs="Calibri"/>
          <w:lang w:val="en-GB"/>
        </w:rPr>
      </w:pPr>
      <w:r w:rsidRPr="00466D0F">
        <w:rPr>
          <w:rFonts w:cs="Calibri"/>
          <w:lang w:val="en-GB"/>
        </w:rPr>
        <w:t>The need for more meaningful engagement, particularly for individuals with complex communication needs</w:t>
      </w:r>
    </w:p>
    <w:p w:rsidRPr="00466D0F" w:rsidR="000C4D40" w:rsidP="00F010DE" w:rsidRDefault="000C4D40" w14:paraId="13AE0CC8" w14:textId="77777777">
      <w:pPr>
        <w:rPr>
          <w:rFonts w:cs="Calibri"/>
          <w:lang w:val="en-GB"/>
        </w:rPr>
      </w:pPr>
    </w:p>
    <w:p w:rsidRPr="00466D0F" w:rsidR="000C4D40" w:rsidP="00F010DE" w:rsidRDefault="000C4D40" w14:paraId="172D0789" w14:textId="77777777">
      <w:pPr>
        <w:rPr>
          <w:rFonts w:cs="Calibri"/>
          <w:lang w:val="en-GB"/>
        </w:rPr>
      </w:pPr>
      <w:r w:rsidRPr="00466D0F">
        <w:rPr>
          <w:rFonts w:cs="Calibri"/>
          <w:lang w:val="en-GB"/>
        </w:rPr>
        <w:t>The expansion of the People’s Experience programme reflects a commitment to improving how feedback is gathered, particularly from seldom-heard communities and those not traditionally represented in quality assurance processes.</w:t>
      </w:r>
    </w:p>
    <w:p w:rsidRPr="00466D0F" w:rsidR="000C4D40" w:rsidP="00F010DE" w:rsidRDefault="000C4D40" w14:paraId="3586D30F" w14:textId="77777777">
      <w:pPr>
        <w:rPr>
          <w:rFonts w:cs="Calibri"/>
          <w:lang w:val="en-GB"/>
        </w:rPr>
      </w:pPr>
      <w:r w:rsidRPr="00466D0F">
        <w:rPr>
          <w:rFonts w:cs="Calibri"/>
          <w:lang w:val="en-GB"/>
        </w:rPr>
        <w:t xml:space="preserve"> </w:t>
      </w:r>
    </w:p>
    <w:p w:rsidRPr="00466D0F" w:rsidR="000C4D40" w:rsidP="00F010DE" w:rsidRDefault="000C4D40" w14:paraId="105BBA72" w14:textId="77777777">
      <w:pPr>
        <w:rPr>
          <w:rFonts w:cs="Calibri"/>
          <w:lang w:val="en-GB"/>
        </w:rPr>
      </w:pPr>
      <w:r w:rsidRPr="00466D0F">
        <w:rPr>
          <w:rFonts w:cs="Calibri"/>
          <w:lang w:val="en-GB"/>
        </w:rPr>
        <w:t>Work continues to embed co-production principles across commissioning and quality assurance activity, ensuring that lived experience informs both service design and improvement priorities.</w:t>
      </w:r>
    </w:p>
    <w:p w:rsidRPr="00466D0F" w:rsidR="000C4D40" w:rsidP="00F010DE" w:rsidRDefault="000C4D40" w14:paraId="01BE4B59" w14:textId="77777777">
      <w:pPr>
        <w:rPr>
          <w:lang w:val="en-GB"/>
        </w:rPr>
      </w:pPr>
    </w:p>
    <w:p w:rsidRPr="00466D0F" w:rsidR="001C3530" w:rsidP="004D40E6" w:rsidRDefault="001C3530" w14:paraId="088869F6" w14:textId="1D098BE1">
      <w:pPr>
        <w:pStyle w:val="Heading2"/>
        <w:rPr>
          <w:kern w:val="2"/>
          <w:lang w:eastAsia="en-GB"/>
          <w14:ligatures w14:val="standardContextual"/>
        </w:rPr>
      </w:pPr>
      <w:bookmarkStart w:name="_Toc231656202" w:id="39"/>
      <w:r w:rsidRPr="00466D0F">
        <w:t>Complaints and compliments</w:t>
      </w:r>
      <w:bookmarkEnd w:id="39"/>
    </w:p>
    <w:p w:rsidRPr="00466D0F" w:rsidR="00C32B2F" w:rsidP="00F010DE" w:rsidRDefault="00C56395" w14:paraId="1EC42AB4" w14:textId="69CA10EF">
      <w:pPr>
        <w:rPr>
          <w:rFonts w:cs="Calibri"/>
          <w:lang w:val="en-GB"/>
        </w:rPr>
      </w:pPr>
      <w:r w:rsidRPr="00466D0F">
        <w:rPr>
          <w:rFonts w:cs="Calibri"/>
          <w:lang w:val="en-GB"/>
        </w:rPr>
        <w:t xml:space="preserve">The Quality Team receives and triangulates feedback from a range of sources, including complaints, compliments, safeguarding concerns, and wider “soft intelligence” captured through the quality inbox and partner engagement. </w:t>
      </w:r>
      <w:r w:rsidRPr="00466D0F" w:rsidR="00C32B2F">
        <w:rPr>
          <w:rFonts w:cs="Calibri"/>
          <w:lang w:val="en-GB"/>
        </w:rPr>
        <w:t xml:space="preserve">Our approach ensures that concerns about care quality are identified early, with intelligence recorded against provider profiles and used to inform risk-based prioritisation, quality visits, and escalation processes where required. </w:t>
      </w:r>
    </w:p>
    <w:p w:rsidRPr="00466D0F" w:rsidR="00624A04" w:rsidP="00F010DE" w:rsidRDefault="00624A04" w14:paraId="686A2077" w14:textId="77777777">
      <w:pPr>
        <w:rPr>
          <w:rFonts w:cs="Calibri"/>
          <w:lang w:val="en-GB"/>
        </w:rPr>
      </w:pPr>
    </w:p>
    <w:p w:rsidRPr="00466D0F" w:rsidR="00C32B2F" w:rsidP="00F010DE" w:rsidRDefault="00C32B2F" w14:paraId="63045194" w14:textId="5D7D2B6D">
      <w:pPr>
        <w:rPr>
          <w:rFonts w:cs="Calibri"/>
          <w:lang w:val="en-GB"/>
        </w:rPr>
      </w:pPr>
      <w:r w:rsidRPr="00466D0F">
        <w:rPr>
          <w:rFonts w:cs="Calibri"/>
          <w:lang w:val="en-GB"/>
        </w:rPr>
        <w:t xml:space="preserve">Thematic analysis of complaints highlights recurring issues relating to communication, responsiveness, consistency of care, and the adequacy of provider responses to concerns. Where concerns indicate potential risks to safety, dignity, or quality of care, or where there is evidence of repeated issues, these are escalated through established governance routes, including multi-agency arrangements where appropriate. </w:t>
      </w:r>
    </w:p>
    <w:p w:rsidRPr="00466D0F" w:rsidR="0039607D" w:rsidP="00F010DE" w:rsidRDefault="0039607D" w14:paraId="1C6B6372" w14:textId="77777777">
      <w:pPr>
        <w:rPr>
          <w:rFonts w:cs="Calibri"/>
          <w:lang w:val="en-GB"/>
        </w:rPr>
      </w:pPr>
    </w:p>
    <w:p w:rsidRPr="00466D0F" w:rsidR="00C32B2F" w:rsidP="00F010DE" w:rsidRDefault="00C32B2F" w14:paraId="37BA7A13" w14:textId="77777777">
      <w:pPr>
        <w:rPr>
          <w:rFonts w:cs="Calibri"/>
          <w:lang w:val="en-GB"/>
        </w:rPr>
      </w:pPr>
      <w:r w:rsidRPr="00466D0F">
        <w:rPr>
          <w:rFonts w:cs="Calibri"/>
          <w:lang w:val="en-GB"/>
        </w:rPr>
        <w:t>Compliments received through engagement activity, quality visits, and feedback mechanisms consistently highlight positive staff approach, compassionate care, and services that promote independence and wellbeing, demonstrating the continued strengths within the Gloucestershire market.</w:t>
      </w:r>
    </w:p>
    <w:p w:rsidRPr="00466D0F" w:rsidR="00CA0BC7" w:rsidP="00F010DE" w:rsidRDefault="00CA0BC7" w14:paraId="4B8C94CE" w14:textId="77777777">
      <w:pPr>
        <w:rPr>
          <w:rFonts w:cs="Calibri"/>
          <w:lang w:val="en-GB"/>
        </w:rPr>
      </w:pPr>
    </w:p>
    <w:p w:rsidRPr="00466D0F" w:rsidR="0069105E" w:rsidP="00F010DE" w:rsidRDefault="00C32B2F" w14:paraId="6803BAB6" w14:textId="2874C6DD">
      <w:pPr>
        <w:rPr>
          <w:rFonts w:cs="Calibri"/>
          <w:lang w:val="en-GB"/>
        </w:rPr>
      </w:pPr>
      <w:r w:rsidRPr="00466D0F">
        <w:rPr>
          <w:rFonts w:cs="Calibri"/>
          <w:lang w:val="en-GB"/>
        </w:rPr>
        <w:t>Response timeliness is dependent on the complexity of the concern and whether escalation is required; however, processes are in place to triage and act proportionately, ensuring that risk is managed effectively and transparently</w:t>
      </w:r>
      <w:r w:rsidRPr="00466D0F" w:rsidR="00253010">
        <w:rPr>
          <w:rFonts w:cs="Calibri"/>
          <w:lang w:val="en-GB"/>
        </w:rPr>
        <w:t>.</w:t>
      </w:r>
    </w:p>
    <w:p w:rsidRPr="00466D0F" w:rsidR="009A2590" w:rsidP="00F010DE" w:rsidRDefault="009A2590" w14:paraId="158D8761" w14:textId="77777777">
      <w:pPr>
        <w:rPr>
          <w:rFonts w:cs="Calibri"/>
          <w:lang w:val="en-GB"/>
        </w:rPr>
      </w:pPr>
    </w:p>
    <w:p w:rsidRPr="00466D0F" w:rsidR="004B1565" w:rsidP="00F010DE" w:rsidRDefault="004B1565" w14:paraId="0D46BC2E" w14:textId="22A45640">
      <w:pPr>
        <w:rPr>
          <w:rFonts w:cs="Calibri"/>
          <w:lang w:val="en-GB"/>
        </w:rPr>
      </w:pPr>
      <w:r w:rsidRPr="00466D0F">
        <w:rPr>
          <w:rFonts w:cs="Calibri"/>
          <w:lang w:val="en-GB"/>
        </w:rPr>
        <w:t xml:space="preserve">The quality team does not replace providers’ responsibility for investigating and responding to complaints. Instead, it seeks and provides assurances that providers have followed their own processes appropriately and that any underlying quality issues have been addressed. </w:t>
      </w:r>
    </w:p>
    <w:p w:rsidRPr="00466D0F" w:rsidR="006335B1" w:rsidP="00F010DE" w:rsidRDefault="006335B1" w14:paraId="178D989C" w14:textId="77777777">
      <w:pPr>
        <w:rPr>
          <w:rFonts w:cs="Calibri"/>
          <w:lang w:val="en-GB"/>
        </w:rPr>
      </w:pPr>
    </w:p>
    <w:p w:rsidRPr="00466D0F" w:rsidR="004B1565" w:rsidP="00F010DE" w:rsidRDefault="004B1565" w14:paraId="6DADDF9D" w14:textId="1F72F0D3">
      <w:pPr>
        <w:rPr>
          <w:rFonts w:cs="Calibri"/>
          <w:lang w:val="en-GB"/>
        </w:rPr>
      </w:pPr>
      <w:r w:rsidRPr="00466D0F">
        <w:rPr>
          <w:rFonts w:cs="Calibri"/>
          <w:lang w:val="en-GB"/>
        </w:rPr>
        <w:t>Our role as commissioner and quality assurer is to:</w:t>
      </w:r>
    </w:p>
    <w:p w:rsidRPr="00466D0F" w:rsidR="006335B1" w:rsidP="00F010DE" w:rsidRDefault="004B1565" w14:paraId="72E52106" w14:textId="77777777">
      <w:pPr>
        <w:pStyle w:val="ListParagraph"/>
        <w:numPr>
          <w:ilvl w:val="0"/>
          <w:numId w:val="6"/>
        </w:numPr>
        <w:jc w:val="both"/>
        <w:rPr>
          <w:rFonts w:eastAsia="Arial" w:cs="Calibri"/>
          <w:color w:val="000000" w:themeColor="text1"/>
          <w:lang w:val="en-GB"/>
        </w:rPr>
      </w:pPr>
      <w:r w:rsidRPr="00466D0F">
        <w:rPr>
          <w:rFonts w:eastAsia="Arial" w:cs="Calibri"/>
          <w:color w:val="000000" w:themeColor="text1"/>
          <w:lang w:val="en-GB"/>
        </w:rPr>
        <w:t>Confirm that providers have completed a fair and reasonable complaints process</w:t>
      </w:r>
    </w:p>
    <w:p w:rsidRPr="00466D0F" w:rsidR="006335B1" w:rsidP="00F010DE" w:rsidRDefault="004B1565" w14:paraId="1E8C9587" w14:textId="77777777">
      <w:pPr>
        <w:pStyle w:val="ListParagraph"/>
        <w:numPr>
          <w:ilvl w:val="0"/>
          <w:numId w:val="6"/>
        </w:numPr>
        <w:jc w:val="both"/>
        <w:rPr>
          <w:rFonts w:eastAsia="Arial" w:cs="Calibri"/>
          <w:color w:val="000000" w:themeColor="text1"/>
          <w:lang w:val="en-GB"/>
        </w:rPr>
      </w:pPr>
      <w:r w:rsidRPr="00466D0F">
        <w:rPr>
          <w:rFonts w:eastAsia="Arial" w:cs="Calibri"/>
          <w:color w:val="000000" w:themeColor="text1"/>
          <w:lang w:val="en-GB"/>
        </w:rPr>
        <w:t>Identify whether learning and improvement has been evidenced</w:t>
      </w:r>
    </w:p>
    <w:p w:rsidRPr="00466D0F" w:rsidR="006335B1" w:rsidP="00F010DE" w:rsidRDefault="004B1565" w14:paraId="56B40641" w14:textId="77777777">
      <w:pPr>
        <w:pStyle w:val="ListParagraph"/>
        <w:numPr>
          <w:ilvl w:val="0"/>
          <w:numId w:val="6"/>
        </w:numPr>
        <w:jc w:val="both"/>
        <w:rPr>
          <w:rFonts w:eastAsia="Arial" w:cs="Calibri"/>
          <w:color w:val="000000" w:themeColor="text1"/>
          <w:lang w:val="en-GB"/>
        </w:rPr>
      </w:pPr>
      <w:r w:rsidRPr="00466D0F">
        <w:rPr>
          <w:rFonts w:eastAsia="Arial" w:cs="Calibri"/>
          <w:color w:val="000000" w:themeColor="text1"/>
          <w:lang w:val="en-GB"/>
        </w:rPr>
        <w:t>Ensure that any systemic quality issues are recognised and addressed</w:t>
      </w:r>
    </w:p>
    <w:p w:rsidRPr="00466D0F" w:rsidR="004B1565" w:rsidP="00F010DE" w:rsidRDefault="004B1565" w14:paraId="2679D45B" w14:textId="35BAB4BA">
      <w:pPr>
        <w:pStyle w:val="ListParagraph"/>
        <w:numPr>
          <w:ilvl w:val="0"/>
          <w:numId w:val="6"/>
        </w:numPr>
        <w:jc w:val="both"/>
        <w:rPr>
          <w:rFonts w:eastAsia="Arial" w:cs="Calibri"/>
          <w:color w:val="000000" w:themeColor="text1"/>
          <w:lang w:val="en-GB"/>
        </w:rPr>
      </w:pPr>
      <w:r w:rsidRPr="00466D0F">
        <w:rPr>
          <w:rFonts w:eastAsia="Arial" w:cs="Calibri"/>
          <w:color w:val="000000" w:themeColor="text1"/>
          <w:lang w:val="en-GB"/>
        </w:rPr>
        <w:t>Escalate concerns where provider responses do not provide sufficient assurance</w:t>
      </w:r>
    </w:p>
    <w:p w:rsidRPr="00466D0F" w:rsidR="004B1565" w:rsidP="00F010DE" w:rsidRDefault="004B1565" w14:paraId="2AD45EE2" w14:textId="77777777">
      <w:pPr>
        <w:rPr>
          <w:rFonts w:cs="Calibri"/>
          <w:lang w:val="en-GB"/>
        </w:rPr>
      </w:pPr>
    </w:p>
    <w:p w:rsidRPr="00466D0F" w:rsidR="00560191" w:rsidP="00F010DE" w:rsidRDefault="004B1565" w14:paraId="21B2AE4B" w14:textId="3048C3F1">
      <w:pPr>
        <w:rPr>
          <w:rFonts w:cs="Calibri"/>
          <w:highlight w:val="cyan"/>
          <w:lang w:val="en-GB"/>
        </w:rPr>
      </w:pPr>
      <w:r w:rsidRPr="00466D0F">
        <w:rPr>
          <w:rFonts w:cs="Calibri"/>
          <w:lang w:val="en-GB"/>
        </w:rPr>
        <w:t>This proportionate approach avoids duplication, while ensuring accountability across the system and enabling commissioners to act where quality concerns persist.</w:t>
      </w:r>
    </w:p>
    <w:p w:rsidRPr="00466D0F" w:rsidR="00180EDB" w:rsidP="00F010DE" w:rsidRDefault="00180EDB" w14:paraId="00FB5CC2" w14:textId="77777777">
      <w:pPr>
        <w:rPr>
          <w:rFonts w:cs="Calibri"/>
          <w:lang w:val="en-GB"/>
        </w:rPr>
      </w:pPr>
    </w:p>
    <w:p w:rsidRPr="00466D0F" w:rsidR="001C3530" w:rsidP="004D40E6" w:rsidRDefault="001C3530" w14:paraId="3212432B" w14:textId="5D07619A">
      <w:pPr>
        <w:pStyle w:val="Heading2"/>
        <w:rPr>
          <w:kern w:val="2"/>
          <w:lang w:eastAsia="en-GB"/>
          <w14:ligatures w14:val="standardContextual"/>
        </w:rPr>
      </w:pPr>
      <w:bookmarkStart w:name="_Toc231656203" w:id="40"/>
      <w:r w:rsidRPr="00466D0F">
        <w:t>Unmet need</w:t>
      </w:r>
      <w:bookmarkEnd w:id="40"/>
    </w:p>
    <w:p w:rsidRPr="00466D0F" w:rsidR="007F461C" w:rsidP="00F010DE" w:rsidRDefault="007F461C" w14:paraId="17D734D7" w14:textId="44681D11">
      <w:pPr>
        <w:rPr>
          <w:rFonts w:cs="Calibri"/>
          <w:lang w:val="en-GB"/>
        </w:rPr>
      </w:pPr>
      <w:r w:rsidRPr="00466D0F">
        <w:rPr>
          <w:rFonts w:cs="Calibri"/>
          <w:lang w:val="en-GB"/>
        </w:rPr>
        <w:t>Evidence of unmet need is identified through triangulation of quality intelligence, market oversight, and stakeholder engagement.</w:t>
      </w:r>
      <w:r w:rsidRPr="00466D0F" w:rsidR="00E6183E">
        <w:rPr>
          <w:rFonts w:cs="Calibri"/>
          <w:lang w:val="en-GB"/>
        </w:rPr>
        <w:t xml:space="preserve"> </w:t>
      </w:r>
      <w:r w:rsidRPr="00466D0F">
        <w:rPr>
          <w:rFonts w:cs="Calibri"/>
          <w:lang w:val="en-GB"/>
        </w:rPr>
        <w:t>Current indicators of unmet or under-met need include:</w:t>
      </w:r>
    </w:p>
    <w:p w:rsidRPr="00466D0F" w:rsidR="00E6183E" w:rsidP="00F010DE" w:rsidRDefault="00E6183E" w14:paraId="6E81232B" w14:textId="77777777">
      <w:pPr>
        <w:rPr>
          <w:rFonts w:cs="Calibri"/>
          <w:lang w:val="en-GB"/>
        </w:rPr>
      </w:pPr>
    </w:p>
    <w:p w:rsidRPr="00466D0F" w:rsidR="007F461C" w:rsidP="00F010DE" w:rsidRDefault="007F461C" w14:paraId="3612E0BE" w14:textId="409528CC">
      <w:pPr>
        <w:pStyle w:val="ListParagraph"/>
        <w:numPr>
          <w:ilvl w:val="0"/>
          <w:numId w:val="22"/>
        </w:numPr>
        <w:rPr>
          <w:rFonts w:cs="Calibri"/>
          <w:lang w:val="en-GB"/>
        </w:rPr>
      </w:pPr>
      <w:r w:rsidRPr="00466D0F">
        <w:rPr>
          <w:rFonts w:cs="Calibri"/>
          <w:lang w:val="en-GB"/>
        </w:rPr>
        <w:t xml:space="preserve">Inconsistent access to quality assurance insight across all parts of the adult market, particularly historically for older people services </w:t>
      </w:r>
    </w:p>
    <w:p w:rsidRPr="00466D0F" w:rsidR="007F461C" w:rsidP="00F010DE" w:rsidRDefault="007F461C" w14:paraId="0D449B30" w14:textId="354AFED0">
      <w:pPr>
        <w:pStyle w:val="ListParagraph"/>
        <w:numPr>
          <w:ilvl w:val="0"/>
          <w:numId w:val="22"/>
        </w:numPr>
        <w:rPr>
          <w:rFonts w:cs="Calibri"/>
          <w:lang w:val="en-GB"/>
        </w:rPr>
      </w:pPr>
      <w:r w:rsidRPr="00466D0F">
        <w:rPr>
          <w:rFonts w:cs="Calibri"/>
          <w:lang w:val="en-GB"/>
        </w:rPr>
        <w:t xml:space="preserve">Barriers to engagement identified by providers, including workforce pressures, communication challenges, and system fragmentation </w:t>
      </w:r>
    </w:p>
    <w:p w:rsidRPr="00466D0F" w:rsidR="007F461C" w:rsidP="00F010DE" w:rsidRDefault="007F461C" w14:paraId="1C0242D4" w14:textId="191E5033">
      <w:pPr>
        <w:pStyle w:val="ListParagraph"/>
        <w:numPr>
          <w:ilvl w:val="0"/>
          <w:numId w:val="22"/>
        </w:numPr>
        <w:rPr>
          <w:rFonts w:cs="Calibri"/>
          <w:lang w:val="en-GB"/>
        </w:rPr>
      </w:pPr>
      <w:r w:rsidRPr="00466D0F">
        <w:rPr>
          <w:rFonts w:cs="Calibri"/>
          <w:lang w:val="en-GB"/>
        </w:rPr>
        <w:t xml:space="preserve">Gaps in capturing the experiences of individuals who are self-funding or outside commissioned services, limiting full system visibility </w:t>
      </w:r>
    </w:p>
    <w:p w:rsidRPr="00466D0F" w:rsidR="00E6183E" w:rsidP="00F010DE" w:rsidRDefault="00E6183E" w14:paraId="244EF212" w14:textId="77777777">
      <w:pPr>
        <w:rPr>
          <w:rFonts w:cs="Calibri"/>
          <w:lang w:val="en-GB"/>
        </w:rPr>
      </w:pPr>
    </w:p>
    <w:p w:rsidRPr="00466D0F" w:rsidR="007F461C" w:rsidP="00F010DE" w:rsidRDefault="007F461C" w14:paraId="1DCA6FF2" w14:textId="77777777">
      <w:pPr>
        <w:rPr>
          <w:rFonts w:cs="Calibri"/>
          <w:lang w:val="en-GB"/>
        </w:rPr>
      </w:pPr>
      <w:r w:rsidRPr="00466D0F">
        <w:rPr>
          <w:rFonts w:cs="Calibri"/>
          <w:lang w:val="en-GB"/>
        </w:rPr>
        <w:t>Additional evidence highlights challenges in:</w:t>
      </w:r>
    </w:p>
    <w:p w:rsidRPr="00466D0F" w:rsidR="007F461C" w:rsidP="00F010DE" w:rsidRDefault="007F461C" w14:paraId="7A3561D7" w14:textId="77777777">
      <w:pPr>
        <w:pStyle w:val="ListParagraph"/>
        <w:numPr>
          <w:ilvl w:val="0"/>
          <w:numId w:val="23"/>
        </w:numPr>
        <w:rPr>
          <w:rFonts w:cs="Calibri"/>
          <w:lang w:val="en-GB"/>
        </w:rPr>
      </w:pPr>
      <w:r w:rsidRPr="00466D0F">
        <w:rPr>
          <w:rFonts w:cs="Calibri"/>
          <w:lang w:val="en-GB"/>
        </w:rPr>
        <w:t>Access to consistent, high-quality care across different provider types</w:t>
      </w:r>
    </w:p>
    <w:p w:rsidRPr="00466D0F" w:rsidR="007F461C" w:rsidP="00F010DE" w:rsidRDefault="007F461C" w14:paraId="6CF76785" w14:textId="77777777">
      <w:pPr>
        <w:pStyle w:val="ListParagraph"/>
        <w:numPr>
          <w:ilvl w:val="0"/>
          <w:numId w:val="23"/>
        </w:numPr>
        <w:rPr>
          <w:rFonts w:cs="Calibri"/>
          <w:lang w:val="en-GB"/>
        </w:rPr>
      </w:pPr>
      <w:r w:rsidRPr="00466D0F">
        <w:rPr>
          <w:rFonts w:cs="Calibri"/>
          <w:lang w:val="en-GB"/>
        </w:rPr>
        <w:t>Workforce capacity and capability impacting delivery of person-centred outcomes</w:t>
      </w:r>
    </w:p>
    <w:p w:rsidRPr="00466D0F" w:rsidR="007F461C" w:rsidP="00F010DE" w:rsidRDefault="007F461C" w14:paraId="6A4B413D" w14:textId="77777777">
      <w:pPr>
        <w:pStyle w:val="ListParagraph"/>
        <w:numPr>
          <w:ilvl w:val="0"/>
          <w:numId w:val="23"/>
        </w:numPr>
        <w:rPr>
          <w:rFonts w:cs="Calibri"/>
          <w:lang w:val="en-GB"/>
        </w:rPr>
      </w:pPr>
      <w:r w:rsidRPr="00466D0F">
        <w:rPr>
          <w:rFonts w:cs="Calibri"/>
          <w:lang w:val="en-GB"/>
        </w:rPr>
        <w:t>Variability in how services respond to feedback and implement improvements</w:t>
      </w:r>
    </w:p>
    <w:p w:rsidRPr="00466D0F" w:rsidR="00E6183E" w:rsidP="00F010DE" w:rsidRDefault="00E6183E" w14:paraId="478B4329" w14:textId="77777777">
      <w:pPr>
        <w:rPr>
          <w:rFonts w:cs="Calibri"/>
          <w:lang w:val="en-GB"/>
        </w:rPr>
      </w:pPr>
    </w:p>
    <w:p w:rsidRPr="00466D0F" w:rsidR="005F607D" w:rsidP="00F010DE" w:rsidRDefault="007F461C" w14:paraId="7C146F8B" w14:textId="77777777">
      <w:pPr>
        <w:rPr>
          <w:rFonts w:cs="Calibri"/>
          <w:lang w:val="en-GB"/>
        </w:rPr>
      </w:pPr>
      <w:r w:rsidRPr="00466D0F">
        <w:rPr>
          <w:rFonts w:cs="Calibri"/>
          <w:lang w:val="en-GB"/>
        </w:rPr>
        <w:t>These risks are being addressed through the development of a more consistent and scalable People’s Experience model, expansion of EbE activity across the whole adult market, and strengthened integration of qualitative insight within governance and reporting structures.</w:t>
      </w:r>
    </w:p>
    <w:p w:rsidRPr="00466D0F" w:rsidR="005F607D" w:rsidP="00F010DE" w:rsidRDefault="005F607D" w14:paraId="50A27BDB" w14:textId="77777777">
      <w:pPr>
        <w:rPr>
          <w:rFonts w:cs="Calibri"/>
          <w:lang w:val="en-GB"/>
        </w:rPr>
      </w:pPr>
    </w:p>
    <w:p w:rsidRPr="00466D0F" w:rsidR="004D40E6" w:rsidP="004D40E6" w:rsidRDefault="004D40E6" w14:paraId="5EBF0906" w14:textId="682BE311">
      <w:pPr>
        <w:pStyle w:val="Heading1"/>
      </w:pPr>
      <w:bookmarkStart w:name="_Toc231656204" w:id="41"/>
      <w:r w:rsidRPr="00466D0F">
        <w:t>Equality, Equity &amp; Access</w:t>
      </w:r>
      <w:bookmarkEnd w:id="41"/>
    </w:p>
    <w:p w:rsidRPr="00466D0F" w:rsidR="004D40E6" w:rsidP="004D40E6" w:rsidRDefault="004D40E6" w14:paraId="61CA12A7" w14:textId="77777777">
      <w:pPr>
        <w:rPr>
          <w:lang w:val="en-GB"/>
        </w:rPr>
      </w:pPr>
    </w:p>
    <w:p w:rsidRPr="00466D0F" w:rsidR="00C87992" w:rsidP="004D40E6" w:rsidRDefault="004D40E6" w14:paraId="0E039311" w14:textId="203A8AF4">
      <w:pPr>
        <w:rPr>
          <w:lang w:val="en-GB"/>
        </w:rPr>
      </w:pPr>
      <w:r w:rsidRPr="00466D0F">
        <w:rPr>
          <w:lang w:val="en-GB"/>
        </w:rPr>
        <w:t xml:space="preserve">Equality, equity and access are central to ASC’s strategic approach and to Gloucestershire County Council’s wider commitment to anti-racism and inclusion. This is both a legal requirement under the Equality Act 2010 and an essential part of delivering good adult social care. Our aim is not only to </w:t>
      </w:r>
      <w:r w:rsidRPr="00466D0F" w:rsidR="00C87992">
        <w:rPr>
          <w:lang w:val="en-GB"/>
        </w:rPr>
        <w:t>avoid discrimination, but to understand where people experience barriers, unequal access or poorer outcomes, and to use commissioning, quality assurance and market shaping to respond. Gloucestershire County Council has set out a clear anti-racism commitment that goes beyond compliance and focuses on active challenge, accountability, better data, stronger community engagement and equitable outcomes.</w:t>
      </w:r>
    </w:p>
    <w:p w:rsidRPr="00466D0F" w:rsidR="00C87992" w:rsidRDefault="00C87992" w14:paraId="25AFD5E9" w14:textId="77777777">
      <w:pPr>
        <w:rPr>
          <w:kern w:val="2"/>
          <w:lang w:val="en-GB" w:eastAsia="en-GB"/>
          <w14:ligatures w14:val="standardContextual"/>
        </w:rPr>
      </w:pPr>
    </w:p>
    <w:p w:rsidRPr="00466D0F" w:rsidR="00C87992" w:rsidRDefault="00C87992" w14:paraId="10F674FF" w14:textId="1E16C6B2">
      <w:pPr>
        <w:rPr>
          <w:lang w:val="en-GB"/>
        </w:rPr>
      </w:pPr>
      <w:r w:rsidRPr="00466D0F">
        <w:rPr>
          <w:lang w:val="en-GB"/>
        </w:rPr>
        <w:t>Gloucestershire is becoming more diverse. The county’s population from ethnic minority communities, excluding white minorities, increased from 4.6% in 2011 to 6.9% in 2021, and the population classed as “other white” increased from 3.1% to 4.5% over the same period. The council’s published Service User Diversity Report 2024/25 and equality analysis also make clear that demographic change, deprivation, disability and other protected characteristics all affect how people experience services, and that better use of data is needed to understand and address inequality.</w:t>
      </w:r>
    </w:p>
    <w:p w:rsidRPr="00466D0F" w:rsidR="003E14AE" w:rsidRDefault="003E14AE" w14:paraId="221F1935" w14:textId="77777777">
      <w:pPr>
        <w:rPr>
          <w:kern w:val="2"/>
          <w:lang w:val="en-GB" w:eastAsia="en-GB"/>
          <w14:ligatures w14:val="standardContextual"/>
        </w:rPr>
      </w:pPr>
    </w:p>
    <w:p w:rsidRPr="00466D0F" w:rsidR="00C87992" w:rsidRDefault="00C87992" w14:paraId="7C26DB25" w14:textId="77777777">
      <w:pPr>
        <w:rPr>
          <w:lang w:val="en-GB"/>
        </w:rPr>
      </w:pPr>
      <w:r w:rsidRPr="00466D0F">
        <w:rPr>
          <w:lang w:val="en-GB"/>
        </w:rPr>
        <w:t>Within adult social care, there is evidence of inequality in both access and experience. The council’s published ASC equality page notes that outcomes can vary for people with disabilities, long-term conditions or mental health needs, and that outcomes may also vary by race, religion and other protected characteristics. It also identifies persistent data gaps, particularly on race, religion and other characteristics, which currently limit the precision of analysis and make it harder to identify where unequal access, poorer experience or differential outcomes are occurring. Adult Social Care is therefore improving how it collects, stores and uses equalities data, with support from the transformation programme and the data and intelligence strategy, so that future commissioning decisions are informed by a stronger and more consistent evidence base.</w:t>
      </w:r>
    </w:p>
    <w:p w:rsidRPr="00466D0F" w:rsidR="003E14AE" w:rsidRDefault="003E14AE" w14:paraId="7BE5FEC8" w14:textId="77777777">
      <w:pPr>
        <w:rPr>
          <w:kern w:val="2"/>
          <w:lang w:val="en-GB" w:eastAsia="en-GB"/>
          <w14:ligatures w14:val="standardContextual"/>
        </w:rPr>
      </w:pPr>
    </w:p>
    <w:p w:rsidRPr="00466D0F" w:rsidR="00C87992" w:rsidRDefault="00C87992" w14:paraId="780A0DBD" w14:textId="77777777">
      <w:pPr>
        <w:rPr>
          <w:lang w:val="en-GB"/>
        </w:rPr>
      </w:pPr>
      <w:r w:rsidRPr="00466D0F">
        <w:rPr>
          <w:lang w:val="en-GB"/>
        </w:rPr>
        <w:t>Current evidence suggests that people living in the most deprived areas are more likely to rely on adult social care, and that multiple disadvantages can compound poor outcomes. There is also a recognised need to improve understanding of the experiences of people from racially minoritised communities, people with learning disabilities, autistic people, people with sensory impairments, and others whose experiences may not be fully visible through current data or feedback mechanisms. This report therefore highlights equality and equity as an area requiring continued development rather than claiming that all disparities are already well understood. That is an important distinction. The evidence base is improving, but it is not yet complete. The Service User Diversity Report 2024/25 and the council’s published equality materials both indicate that better data, stronger engagement and more systematic use of insight are priorities for improvement.</w:t>
      </w:r>
    </w:p>
    <w:p w:rsidRPr="00466D0F" w:rsidR="003E14AE" w:rsidRDefault="003E14AE" w14:paraId="6D337804" w14:textId="77777777">
      <w:pPr>
        <w:rPr>
          <w:kern w:val="2"/>
          <w:lang w:val="en-GB" w:eastAsia="en-GB"/>
          <w14:ligatures w14:val="standardContextual"/>
        </w:rPr>
      </w:pPr>
    </w:p>
    <w:p w:rsidRPr="00466D0F" w:rsidR="00C87992" w:rsidRDefault="00C87992" w14:paraId="4CABA434" w14:textId="77777777">
      <w:pPr>
        <w:rPr>
          <w:lang w:val="en-GB"/>
        </w:rPr>
      </w:pPr>
      <w:r w:rsidRPr="00466D0F">
        <w:rPr>
          <w:lang w:val="en-GB"/>
        </w:rPr>
        <w:t>The workforce dimension is also important. GCC’s wider anti-racism materials and ASC internal documents identify clear risks for staff from diverse ethnic communities, including barriers in recruitment, progression and workplace experience. This matters to adult social care commissioning because workforce inequality affects retention, psychological safety, service culture and ultimately the quality of care that people receive. Internal ASC commissioning papers also emphasise that the market is increasingly reliant on international recruitment, and that providers must be equipped to create safe, inclusive and anti-racist working environments if they are to maintain a stable workforce and provide dignified, person-centred care.</w:t>
      </w:r>
    </w:p>
    <w:p w:rsidRPr="00466D0F" w:rsidR="003E14AE" w:rsidRDefault="003E14AE" w14:paraId="36FF00AD" w14:textId="77777777">
      <w:pPr>
        <w:rPr>
          <w:kern w:val="2"/>
          <w:lang w:val="en-GB" w:eastAsia="en-GB"/>
          <w14:ligatures w14:val="standardContextual"/>
        </w:rPr>
      </w:pPr>
    </w:p>
    <w:p w:rsidRPr="00466D0F" w:rsidR="00C87992" w:rsidRDefault="00C87992" w14:paraId="7B4CC661" w14:textId="77777777">
      <w:pPr>
        <w:rPr>
          <w:lang w:val="en-GB"/>
        </w:rPr>
      </w:pPr>
      <w:r w:rsidRPr="00466D0F">
        <w:rPr>
          <w:lang w:val="en-GB"/>
        </w:rPr>
        <w:t>ASC has already begun to translate these commitments into commissioning and quality activity. Internal service planning for the ASC Commissioning Quality function identifies a number of specific actions. These include expanding how the voice of people using services is heard so that the experience of all groups can better inform improvement, reviewing the Quality Assurance Framework so that equality, diversity and inclusion are more clearly reflected in standards and provider expectations, improving the recording and reporting of protected characteristics, and developing an anti-racism market plan so that providers are clearer about expectations on inclusive practice, reporting mechanisms, culturally responsive care and community engagement. The same internal planning also highlights the need to improve the quality of Equality Impact Assessments and to use the Adults EDI Group more actively as a source of challenge and improvement.</w:t>
      </w:r>
    </w:p>
    <w:p w:rsidRPr="00466D0F" w:rsidR="003E14AE" w:rsidRDefault="003E14AE" w14:paraId="28CFD705" w14:textId="77777777">
      <w:pPr>
        <w:rPr>
          <w:kern w:val="2"/>
          <w:lang w:val="en-GB" w:eastAsia="en-GB"/>
          <w14:ligatures w14:val="standardContextual"/>
        </w:rPr>
      </w:pPr>
    </w:p>
    <w:p w:rsidRPr="00466D0F" w:rsidR="00C87992" w:rsidRDefault="00C87992" w14:paraId="324B5742" w14:textId="77777777">
      <w:pPr>
        <w:rPr>
          <w:lang w:val="en-GB"/>
        </w:rPr>
      </w:pPr>
      <w:r w:rsidRPr="00466D0F">
        <w:rPr>
          <w:lang w:val="en-GB"/>
        </w:rPr>
        <w:t>This means the equality, equity and access agenda is not separate from the wider ASC transformation programme. It links directly to the target operating model, to prevention, to quality improvement and to better use of data. A more equitable system is one in which people can access information and support earlier, where services are culturally responsive and accessible, where lived experience is heard, and where providers are expected to demonstrate inclusive employment and care practices. It also means being clearer about what good looks like in the external market. Internal ASC papers on anti-racist work with providers propose using provider forums, workshops and QAF evidence to build provider capability and create a clearer expectation that anti-racist and inclusive practice form part of quality, not an optional extra.</w:t>
      </w:r>
    </w:p>
    <w:p w:rsidRPr="00466D0F" w:rsidR="003E14AE" w:rsidRDefault="003E14AE" w14:paraId="5675C835" w14:textId="77777777">
      <w:pPr>
        <w:rPr>
          <w:kern w:val="2"/>
          <w:lang w:val="en-GB" w:eastAsia="en-GB"/>
          <w14:ligatures w14:val="standardContextual"/>
        </w:rPr>
      </w:pPr>
    </w:p>
    <w:p w:rsidRPr="00466D0F" w:rsidR="00C87992" w:rsidRDefault="00C87992" w14:paraId="2CB91349" w14:textId="77777777">
      <w:pPr>
        <w:rPr>
          <w:kern w:val="2"/>
          <w:lang w:val="en-GB" w:eastAsia="en-GB"/>
          <w14:ligatures w14:val="standardContextual"/>
        </w:rPr>
      </w:pPr>
      <w:r w:rsidRPr="00466D0F">
        <w:rPr>
          <w:lang w:val="en-GB"/>
        </w:rPr>
        <w:t>Over the coming year, ASC will therefore focus on four linked areas. First, improving equalities data quality and analysis so that disparities in access, experience and outcomes can be better understood at both county and locality level. Second, strengthening how lived experience is gathered, particularly from communities and groups whose voices are less often reflected in formal feedback routes. Third, embedding clearer equality, diversity and anti-racism expectations into commissioning, quality assurance and provider engagement. Fourth, using this improved evidence to shape services that are more accessible, culturally responsive and better able to reduce avoidable inequalities. These actions are consistent with GCC’s anti-racism commitment, the service user diversity reporting framework, and ASC’s own quality and commissioning plans.</w:t>
      </w:r>
    </w:p>
    <w:p w:rsidRPr="00466D0F" w:rsidR="004D40E6" w:rsidP="004D40E6" w:rsidRDefault="004D40E6" w14:paraId="29063746" w14:textId="77777777">
      <w:pPr>
        <w:pStyle w:val="Heading1"/>
      </w:pPr>
      <w:bookmarkStart w:name="_Toc231656205" w:id="42"/>
      <w:r w:rsidRPr="00466D0F">
        <w:t>Forward Look &amp; Priorities</w:t>
      </w:r>
      <w:bookmarkEnd w:id="42"/>
    </w:p>
    <w:p w:rsidRPr="00466D0F" w:rsidR="004D40E6" w:rsidP="004D40E6" w:rsidRDefault="004D40E6" w14:paraId="6E834B5F" w14:textId="77777777">
      <w:pPr>
        <w:rPr>
          <w:lang w:val="en-GB"/>
        </w:rPr>
      </w:pPr>
    </w:p>
    <w:p w:rsidRPr="00466D0F" w:rsidR="004D40E6" w:rsidP="004D40E6" w:rsidRDefault="004D40E6" w14:paraId="3DEF7EA3" w14:textId="4E5C08CF">
      <w:pPr>
        <w:pStyle w:val="Heading2"/>
      </w:pPr>
      <w:bookmarkStart w:name="_Toc231656206" w:id="43"/>
      <w:r w:rsidRPr="00466D0F">
        <w:t>Emerging risks for the coming year</w:t>
      </w:r>
      <w:bookmarkEnd w:id="43"/>
    </w:p>
    <w:p w:rsidRPr="00466D0F" w:rsidR="001A26A4" w:rsidP="004D40E6" w:rsidRDefault="004D40E6" w14:paraId="33110F8D" w14:textId="27DA0843">
      <w:pPr>
        <w:rPr>
          <w:lang w:val="en-GB"/>
        </w:rPr>
      </w:pPr>
      <w:r w:rsidRPr="00466D0F">
        <w:rPr>
          <w:lang w:val="en-GB"/>
        </w:rPr>
        <w:t xml:space="preserve">Local Government Reorganisation creates uncertainty about future commissioning, governance and </w:t>
      </w:r>
      <w:r w:rsidRPr="00466D0F" w:rsidR="001A26A4">
        <w:rPr>
          <w:lang w:val="en-GB"/>
        </w:rPr>
        <w:t>contract arrangements. While this does not change ASC’s immediate statutory responsibilities, it does require careful planning so that contracts, procurement decisions and market oversight arrangements remain viable under future structural options.</w:t>
      </w:r>
    </w:p>
    <w:p w:rsidRPr="00466D0F" w:rsidR="00DC4504" w:rsidP="00F010DE" w:rsidRDefault="00DC4504" w14:paraId="0F98E3B9" w14:textId="77777777">
      <w:pPr>
        <w:rPr>
          <w:kern w:val="2"/>
          <w:lang w:val="en-GB" w:eastAsia="en-GB"/>
          <w14:ligatures w14:val="standardContextual"/>
        </w:rPr>
      </w:pPr>
    </w:p>
    <w:p w:rsidRPr="00466D0F" w:rsidR="001A26A4" w:rsidP="00F010DE" w:rsidRDefault="001A26A4" w14:paraId="683B9AA3" w14:textId="77777777">
      <w:pPr>
        <w:rPr>
          <w:kern w:val="2"/>
          <w:lang w:val="en-GB" w:eastAsia="en-GB"/>
          <w14:ligatures w14:val="standardContextual"/>
        </w:rPr>
      </w:pPr>
      <w:r w:rsidRPr="00466D0F">
        <w:rPr>
          <w:lang w:val="en-GB"/>
        </w:rPr>
        <w:t>As market oversight becomes more systematic through the Quality Assurance Framework and contract monitoring, ASC should expect greater visibility of risk and, in the short term, potentially higher levels of improvement and suspension activity as issues are identified and acted upon earlier.</w:t>
      </w:r>
    </w:p>
    <w:p w:rsidRPr="00466D0F" w:rsidR="001A26A4" w:rsidP="00F010DE" w:rsidRDefault="001A26A4" w14:paraId="3B7FF48F" w14:textId="77777777">
      <w:pPr>
        <w:rPr>
          <w:kern w:val="2"/>
          <w:lang w:val="en-GB" w:eastAsia="en-GB"/>
          <w14:ligatures w14:val="standardContextual"/>
        </w:rPr>
      </w:pPr>
      <w:r w:rsidRPr="00466D0F">
        <w:rPr>
          <w:lang w:val="en-GB"/>
        </w:rPr>
        <w:t>Workforce sustainability concerns are also likely to intensify, particularly where providers are dependent on international recruitment or are affected by sponsorship changes and UKVI revocations. This creates a direct risk to market stability, quality and capacity.</w:t>
      </w:r>
    </w:p>
    <w:p w:rsidRPr="00466D0F" w:rsidR="005A4C41" w:rsidP="00F010DE" w:rsidRDefault="005A4C41" w14:paraId="01D9D382" w14:textId="77777777">
      <w:pPr>
        <w:rPr>
          <w:rStyle w:val="Heading3Char"/>
          <w:rFonts w:ascii="Calibri" w:hAnsi="Calibri" w:cs="Calibri"/>
          <w:color w:val="auto"/>
          <w:lang w:val="en-GB"/>
        </w:rPr>
      </w:pPr>
    </w:p>
    <w:p w:rsidRPr="00466D0F" w:rsidR="001C3530" w:rsidP="004D40E6" w:rsidRDefault="001C3530" w14:paraId="7597D267" w14:textId="74579E4E">
      <w:pPr>
        <w:pStyle w:val="Heading2"/>
        <w:rPr>
          <w:kern w:val="2"/>
          <w:lang w:eastAsia="en-GB"/>
          <w14:ligatures w14:val="standardContextual"/>
        </w:rPr>
      </w:pPr>
      <w:bookmarkStart w:name="_Toc231656207" w:id="44"/>
      <w:r w:rsidRPr="00466D0F">
        <w:t>Priority areas for market development</w:t>
      </w:r>
      <w:bookmarkEnd w:id="44"/>
    </w:p>
    <w:p w:rsidRPr="00466D0F" w:rsidR="6B58B11A" w:rsidP="00F010DE" w:rsidRDefault="6B58B11A" w14:paraId="78B03F26" w14:textId="4258D4CE">
      <w:pPr>
        <w:rPr>
          <w:rStyle w:val="Heading3Char"/>
          <w:rFonts w:ascii="Calibri" w:hAnsi="Calibri" w:cs="Calibri"/>
          <w:color w:val="auto"/>
          <w:lang w:val="en-GB"/>
        </w:rPr>
      </w:pPr>
      <w:r w:rsidRPr="00466D0F">
        <w:rPr>
          <w:rStyle w:val="Heading3Char"/>
          <w:rFonts w:ascii="Calibri" w:hAnsi="Calibri" w:cs="Calibri"/>
          <w:color w:val="auto"/>
          <w:lang w:val="en-GB"/>
        </w:rPr>
        <w:t xml:space="preserve">The full implementation of the Quality Assurance Framework and move to a </w:t>
      </w:r>
      <w:r w:rsidRPr="00466D0F" w:rsidR="2EF0BA0D">
        <w:rPr>
          <w:rStyle w:val="Heading3Char"/>
          <w:rFonts w:ascii="Calibri" w:hAnsi="Calibri" w:cs="Calibri"/>
          <w:color w:val="auto"/>
          <w:lang w:val="en-GB"/>
        </w:rPr>
        <w:t xml:space="preserve">‘business as usual’ status in 2026/27 </w:t>
      </w:r>
      <w:r w:rsidRPr="00466D0F">
        <w:rPr>
          <w:rStyle w:val="Heading3Char"/>
          <w:rFonts w:ascii="Calibri" w:hAnsi="Calibri" w:cs="Calibri"/>
          <w:color w:val="auto"/>
          <w:lang w:val="en-GB"/>
        </w:rPr>
        <w:t>will allow us to have a consistent approach to assessing and assuring quality across the whole ASC provider market.</w:t>
      </w:r>
      <w:r w:rsidRPr="00466D0F" w:rsidR="4AC9FF81">
        <w:rPr>
          <w:rStyle w:val="Heading3Char"/>
          <w:rFonts w:ascii="Calibri" w:hAnsi="Calibri" w:cs="Calibri"/>
          <w:color w:val="auto"/>
          <w:lang w:val="en-GB"/>
        </w:rPr>
        <w:t xml:space="preserve"> Any emerging themes from assessment data will be analysed to better inform future market support projects.</w:t>
      </w:r>
    </w:p>
    <w:p w:rsidRPr="00466D0F" w:rsidR="1EFEB1A2" w:rsidP="00F010DE" w:rsidRDefault="1EFEB1A2" w14:paraId="3C0BD849" w14:textId="1544CC81">
      <w:pPr>
        <w:rPr>
          <w:rFonts w:cs="Calibri"/>
          <w:lang w:val="en-GB"/>
        </w:rPr>
      </w:pPr>
    </w:p>
    <w:p w:rsidRPr="00466D0F" w:rsidR="00D37366" w:rsidP="00F010DE" w:rsidRDefault="00D37366" w14:paraId="7A05ADD4" w14:textId="77777777">
      <w:pPr>
        <w:rPr>
          <w:rStyle w:val="Heading3Char"/>
          <w:rFonts w:ascii="Calibri" w:hAnsi="Calibri" w:cs="Calibri"/>
          <w:color w:val="auto"/>
          <w:lang w:val="en-GB"/>
        </w:rPr>
      </w:pPr>
      <w:r w:rsidRPr="00466D0F">
        <w:rPr>
          <w:rStyle w:val="Heading3Char"/>
          <w:rFonts w:ascii="Calibri" w:hAnsi="Calibri" w:cs="Calibri"/>
          <w:color w:val="auto"/>
          <w:lang w:val="en-GB"/>
        </w:rPr>
        <w:t>The Care Academy will establish a single, county-wide digital “front door” for adult social care training, careers and provider support, acting as a central resource for providers, staff and unpaid carers. It will support recruitment, retention and workforce development by providing accessible, high-quality training aligned to Skills for Care standards, alongside clear career pathways, leadership development and business support. This coordinated approach aims to strengthen workforce capacity and contribute to a more resilient and sustainable local care market. The web-based Care Academy is scheduled to launch in early September 2026, with further development delivered in phases.</w:t>
      </w:r>
    </w:p>
    <w:p w:rsidRPr="00466D0F" w:rsidR="00DB2184" w:rsidP="00F010DE" w:rsidRDefault="00DB2184" w14:paraId="325AB73F" w14:textId="77777777">
      <w:pPr>
        <w:rPr>
          <w:rStyle w:val="Heading3Char"/>
          <w:rFonts w:ascii="Calibri" w:hAnsi="Calibri" w:cs="Calibri"/>
          <w:color w:val="auto"/>
          <w:lang w:val="en-GB"/>
        </w:rPr>
      </w:pPr>
    </w:p>
    <w:p w:rsidRPr="00466D0F" w:rsidR="00A2014D" w:rsidP="00F010DE" w:rsidRDefault="00A2014D" w14:paraId="14A09B62" w14:textId="711B44BD">
      <w:pPr>
        <w:rPr>
          <w:rStyle w:val="Heading3Char"/>
          <w:rFonts w:ascii="Calibri" w:hAnsi="Calibri" w:cs="Calibri"/>
          <w:color w:val="auto"/>
          <w:lang w:val="en-GB"/>
        </w:rPr>
      </w:pPr>
      <w:r w:rsidRPr="7C9E06B9">
        <w:rPr>
          <w:rStyle w:val="Heading3Char"/>
          <w:rFonts w:ascii="Calibri" w:hAnsi="Calibri" w:cs="Calibri"/>
          <w:color w:val="auto"/>
          <w:lang w:val="en-GB"/>
        </w:rPr>
        <w:t xml:space="preserve">The External Care Workforce Strategy will assess current and future workforce requirements across Gloucestershire’s external care market and identify the actions needed to ensure a sufficient, skilled and sustainable workforce. Developed in collaboration with providers and aligned with the Market Position Statement, it will focus on improving recruitment, retention, progression and skills development. The strategy will be informed by stakeholder engagement and benchmarking with other </w:t>
      </w:r>
      <w:r w:rsidRPr="7C9E06B9" w:rsidR="69F28012">
        <w:rPr>
          <w:rStyle w:val="Heading3Char"/>
          <w:rFonts w:ascii="Calibri" w:hAnsi="Calibri" w:cs="Calibri"/>
          <w:color w:val="auto"/>
          <w:lang w:val="en-GB"/>
        </w:rPr>
        <w:t>areas and</w:t>
      </w:r>
      <w:r w:rsidRPr="7C9E06B9">
        <w:rPr>
          <w:rStyle w:val="Heading3Char"/>
          <w:rFonts w:ascii="Calibri" w:hAnsi="Calibri" w:cs="Calibri"/>
          <w:color w:val="auto"/>
          <w:lang w:val="en-GB"/>
        </w:rPr>
        <w:t xml:space="preserve"> will set out a clear action plan that will also inform the ongoing development and priorities of the Care Academy.</w:t>
      </w:r>
    </w:p>
    <w:p w:rsidRPr="00466D0F" w:rsidR="00DB2184" w:rsidP="00F010DE" w:rsidRDefault="00DB2184" w14:paraId="6C3C037D" w14:textId="77777777">
      <w:pPr>
        <w:rPr>
          <w:rStyle w:val="Heading3Char"/>
          <w:rFonts w:ascii="Calibri" w:hAnsi="Calibri" w:cs="Calibri"/>
          <w:color w:val="auto"/>
          <w:lang w:val="en-GB"/>
        </w:rPr>
      </w:pPr>
    </w:p>
    <w:p w:rsidRPr="00466D0F" w:rsidR="002760D0" w:rsidP="00F010DE" w:rsidRDefault="6C51CB92" w14:paraId="5217F08C" w14:textId="35EFD25F">
      <w:pPr>
        <w:rPr>
          <w:rStyle w:val="Heading3Char"/>
          <w:rFonts w:ascii="Calibri" w:hAnsi="Calibri" w:cs="Calibri"/>
          <w:color w:val="auto"/>
          <w:lang w:val="en-GB"/>
        </w:rPr>
      </w:pPr>
      <w:r w:rsidRPr="00466D0F">
        <w:rPr>
          <w:rStyle w:val="Heading3Char"/>
          <w:rFonts w:ascii="Calibri" w:hAnsi="Calibri" w:cs="Calibri"/>
          <w:color w:val="auto"/>
          <w:lang w:val="en-GB"/>
        </w:rPr>
        <w:t>A refreshed and accessible Market Position Statement will be developed through robust intelligence and co-production, and will clearly outline current and future demand, market capacity, commissioning intentions and opportunities for providers. It will have a particular focus on Adults of Working Age and will provide opportunities for increased market confidence,</w:t>
      </w:r>
      <w:r w:rsidRPr="00466D0F" w:rsidR="386C6E99">
        <w:rPr>
          <w:rStyle w:val="Heading3Char"/>
          <w:rFonts w:ascii="Calibri" w:hAnsi="Calibri" w:cs="Calibri"/>
          <w:color w:val="auto"/>
          <w:lang w:val="en-GB"/>
        </w:rPr>
        <w:t xml:space="preserve"> </w:t>
      </w:r>
      <w:r w:rsidRPr="00466D0F">
        <w:rPr>
          <w:rStyle w:val="Heading3Char"/>
          <w:rFonts w:ascii="Calibri" w:hAnsi="Calibri" w:cs="Calibri"/>
          <w:color w:val="auto"/>
          <w:lang w:val="en-GB"/>
        </w:rPr>
        <w:t>for innovation, alignment with statutory duties</w:t>
      </w:r>
      <w:r w:rsidRPr="00466D0F" w:rsidR="669B6D3E">
        <w:rPr>
          <w:rStyle w:val="Heading3Char"/>
          <w:rFonts w:ascii="Calibri" w:hAnsi="Calibri" w:cs="Calibri"/>
          <w:color w:val="auto"/>
          <w:lang w:val="en-GB"/>
        </w:rPr>
        <w:t>,</w:t>
      </w:r>
      <w:r w:rsidRPr="00466D0F">
        <w:rPr>
          <w:rStyle w:val="Heading3Char"/>
          <w:rFonts w:ascii="Calibri" w:hAnsi="Calibri" w:cs="Calibri"/>
          <w:color w:val="auto"/>
          <w:lang w:val="en-GB"/>
        </w:rPr>
        <w:t xml:space="preserve"> and stronger provider engagement.</w:t>
      </w:r>
    </w:p>
    <w:p w:rsidRPr="00466D0F" w:rsidR="00AB5124" w:rsidP="00F010DE" w:rsidRDefault="00AB5124" w14:paraId="74E6EC6C" w14:textId="77777777">
      <w:pPr>
        <w:rPr>
          <w:rStyle w:val="Heading3Char"/>
          <w:rFonts w:ascii="Calibri" w:hAnsi="Calibri" w:cs="Calibri"/>
          <w:color w:val="auto"/>
          <w:lang w:val="en-GB"/>
        </w:rPr>
      </w:pPr>
    </w:p>
    <w:p w:rsidRPr="00466D0F" w:rsidR="00923FE0" w:rsidP="00F010DE" w:rsidRDefault="000B6951" w14:paraId="29960BAB" w14:textId="14FA255B">
      <w:pPr>
        <w:rPr>
          <w:rStyle w:val="Heading3Char"/>
          <w:rFonts w:ascii="Calibri" w:hAnsi="Calibri" w:cs="Calibri"/>
          <w:color w:val="auto"/>
          <w:lang w:val="en-GB"/>
        </w:rPr>
      </w:pPr>
      <w:r w:rsidRPr="00466D0F">
        <w:rPr>
          <w:rStyle w:val="Heading3Char"/>
          <w:rFonts w:ascii="Calibri" w:hAnsi="Calibri" w:cs="Calibri"/>
          <w:color w:val="auto"/>
          <w:lang w:val="en-GB"/>
        </w:rPr>
        <w:t xml:space="preserve">The new approach </w:t>
      </w:r>
      <w:r w:rsidRPr="00466D0F" w:rsidR="00642335">
        <w:rPr>
          <w:rStyle w:val="Heading3Char"/>
          <w:rFonts w:ascii="Calibri" w:hAnsi="Calibri" w:cs="Calibri"/>
          <w:color w:val="auto"/>
          <w:lang w:val="en-GB"/>
        </w:rPr>
        <w:t xml:space="preserve">to hearing the voice of people who receive </w:t>
      </w:r>
      <w:r w:rsidRPr="00466D0F" w:rsidR="00816833">
        <w:rPr>
          <w:rStyle w:val="Heading3Char"/>
          <w:rFonts w:ascii="Calibri" w:hAnsi="Calibri" w:cs="Calibri"/>
          <w:color w:val="auto"/>
          <w:lang w:val="en-GB"/>
        </w:rPr>
        <w:t>adult social care</w:t>
      </w:r>
      <w:r w:rsidRPr="00466D0F">
        <w:rPr>
          <w:rStyle w:val="Heading3Char"/>
          <w:rFonts w:ascii="Calibri" w:hAnsi="Calibri" w:cs="Calibri"/>
          <w:color w:val="auto"/>
          <w:lang w:val="en-GB"/>
        </w:rPr>
        <w:t xml:space="preserve"> will enable the review of care delivery from the perspective of the person receiving it. The proposed new approach will go to Cabinet in the summer and, if approved, a procurement exercise will follow to commission a new whole market approach to replace the current service when the contract ends in April 2027. The aim is to offer a person-centred approach which can capture the voice of people experiencing care services which in turn will support our quality assurance and improvement activity and the learning will be used to shape our support and development offer to providers. </w:t>
      </w:r>
    </w:p>
    <w:p w:rsidRPr="00466D0F" w:rsidR="00DB2184" w:rsidP="00F010DE" w:rsidRDefault="00DB2184" w14:paraId="2CD4BB7C" w14:textId="77777777">
      <w:pPr>
        <w:rPr>
          <w:rStyle w:val="Heading3Char"/>
          <w:rFonts w:ascii="Calibri" w:hAnsi="Calibri" w:cs="Calibri"/>
          <w:color w:val="auto"/>
          <w:lang w:val="en-GB"/>
        </w:rPr>
      </w:pPr>
    </w:p>
    <w:p w:rsidRPr="00466D0F" w:rsidR="00EE585C" w:rsidP="00F010DE" w:rsidRDefault="39B339B2" w14:paraId="48600C02" w14:textId="44F5CA6F">
      <w:pPr>
        <w:rPr>
          <w:rStyle w:val="Heading3Char"/>
          <w:rFonts w:ascii="Calibri" w:hAnsi="Calibri" w:cs="Calibri"/>
          <w:color w:val="auto"/>
          <w:lang w:val="en-GB"/>
        </w:rPr>
      </w:pPr>
      <w:r w:rsidRPr="00466D0F">
        <w:rPr>
          <w:rStyle w:val="Heading3Char"/>
          <w:rFonts w:ascii="Calibri" w:hAnsi="Calibri" w:cs="Calibri"/>
          <w:color w:val="auto"/>
          <w:lang w:val="en-GB"/>
        </w:rPr>
        <w:t>We will engage with the market to share our plans and initiatives and to hear the challenges and opportunities that they are experiencing. We will provide regular forum opportunities and a monthly newsletter to ensure regular communications. We will work with strategic colleagues to develop the provider representation contract and align offers with the Workforce Strategy and Care Academy.</w:t>
      </w:r>
    </w:p>
    <w:p w:rsidRPr="00466D0F" w:rsidR="00DB2184" w:rsidP="00F010DE" w:rsidRDefault="00DB2184" w14:paraId="611B77A7" w14:textId="77777777">
      <w:pPr>
        <w:rPr>
          <w:rStyle w:val="Heading3Char"/>
          <w:rFonts w:ascii="Calibri" w:hAnsi="Calibri" w:cs="Calibri"/>
          <w:color w:val="auto"/>
          <w:lang w:val="en-GB"/>
        </w:rPr>
      </w:pPr>
    </w:p>
    <w:p w:rsidRPr="00466D0F" w:rsidR="00455E9E" w:rsidP="00F010DE" w:rsidRDefault="00455E9E" w14:paraId="7F6C2E7B" w14:textId="1BAAD3D0">
      <w:pPr>
        <w:rPr>
          <w:rStyle w:val="Heading3Char"/>
          <w:rFonts w:ascii="Calibri" w:hAnsi="Calibri" w:cs="Calibri"/>
          <w:color w:val="auto"/>
          <w:lang w:val="en-GB"/>
        </w:rPr>
      </w:pPr>
      <w:r w:rsidRPr="00466D0F">
        <w:rPr>
          <w:rStyle w:val="Heading3Char"/>
          <w:rFonts w:ascii="Calibri" w:hAnsi="Calibri" w:cs="Calibri"/>
          <w:color w:val="auto"/>
          <w:lang w:val="en-GB"/>
        </w:rPr>
        <w:t>Analysis of brokerage activity in domiciliary care has identified 24 rural clusters across the four localities of the Cotswolds, Forest of Dean, Stroud, and Tewkesbury that fall outside existing block commissioning models. In these areas, sourcing times are consistently higher, primarily due to low population density. In addition, a number of providers on the Council’s framework have not received any commissioned activity within the past 12 months, presenting an opportunity to reassess available market capacity.</w:t>
      </w:r>
    </w:p>
    <w:p w:rsidRPr="00466D0F" w:rsidR="00DB2184" w:rsidP="00F010DE" w:rsidRDefault="00DB2184" w14:paraId="652C604B" w14:textId="77777777">
      <w:pPr>
        <w:rPr>
          <w:rStyle w:val="Heading3Char"/>
          <w:rFonts w:ascii="Calibri" w:hAnsi="Calibri" w:cs="Calibri"/>
          <w:color w:val="auto"/>
          <w:lang w:val="en-GB"/>
        </w:rPr>
      </w:pPr>
    </w:p>
    <w:p w:rsidRPr="00466D0F" w:rsidR="00455E9E" w:rsidP="00F010DE" w:rsidRDefault="00455E9E" w14:paraId="08FD32A5" w14:textId="2D8A97A3">
      <w:pPr>
        <w:rPr>
          <w:rStyle w:val="Heading3Char"/>
          <w:rFonts w:ascii="Calibri" w:hAnsi="Calibri" w:cs="Calibri"/>
          <w:color w:val="auto"/>
          <w:lang w:val="en-GB"/>
        </w:rPr>
      </w:pPr>
      <w:r w:rsidRPr="00466D0F">
        <w:rPr>
          <w:rStyle w:val="Heading3Char"/>
          <w:rFonts w:ascii="Calibri" w:hAnsi="Calibri" w:cs="Calibri"/>
          <w:color w:val="auto"/>
          <w:lang w:val="en-GB"/>
        </w:rPr>
        <w:t>A targeted programme of provider re-engagement is therefore proposed to establish current appetite, workforce capacity, and operational readiness, alongside engagement with existing providers operating in these areas that do not have a block arrangement.</w:t>
      </w:r>
    </w:p>
    <w:p w:rsidRPr="00466D0F" w:rsidR="00AB5124" w:rsidP="00F010DE" w:rsidRDefault="00AB5124" w14:paraId="29A42CD6" w14:textId="77777777">
      <w:pPr>
        <w:rPr>
          <w:rStyle w:val="Heading3Char"/>
          <w:rFonts w:ascii="Calibri" w:hAnsi="Calibri" w:cs="Calibri"/>
          <w:color w:val="auto"/>
          <w:lang w:val="en-GB"/>
        </w:rPr>
      </w:pPr>
    </w:p>
    <w:p w:rsidRPr="00466D0F" w:rsidR="004E4CA8" w:rsidP="00F010DE" w:rsidRDefault="004E4CA8" w14:paraId="00BF47B2" w14:textId="7FCF67FF">
      <w:pPr>
        <w:rPr>
          <w:rStyle w:val="Heading3Char"/>
          <w:rFonts w:ascii="Calibri" w:hAnsi="Calibri" w:cs="Calibri"/>
          <w:color w:val="auto"/>
          <w:lang w:val="en-GB"/>
        </w:rPr>
      </w:pPr>
      <w:r w:rsidRPr="00466D0F">
        <w:rPr>
          <w:rStyle w:val="Heading3Char"/>
          <w:rFonts w:ascii="Calibri" w:hAnsi="Calibri" w:cs="Calibri"/>
          <w:color w:val="auto"/>
          <w:lang w:val="en-GB"/>
        </w:rPr>
        <w:t>To address identified gaps in provision, a small cohort of providers would be established with a level of exclusivity within these areas, or offered first refusal on referrals, to accelerate service delivery and create increased opportunities for consistent engagement. This approach would provide selected providers with priority access to referrals within defined clusters via brokerage systems, without the requirement for block payments or contractual guarantees.</w:t>
      </w:r>
    </w:p>
    <w:p w:rsidRPr="00466D0F" w:rsidR="00AB5124" w:rsidP="00F010DE" w:rsidRDefault="00AB5124" w14:paraId="224004D1" w14:textId="77777777">
      <w:pPr>
        <w:rPr>
          <w:rStyle w:val="Heading3Char"/>
          <w:rFonts w:ascii="Calibri" w:hAnsi="Calibri" w:cs="Calibri"/>
          <w:color w:val="auto"/>
          <w:lang w:val="en-GB"/>
        </w:rPr>
      </w:pPr>
    </w:p>
    <w:p w:rsidRPr="00466D0F" w:rsidR="008018CC" w:rsidP="00F010DE" w:rsidRDefault="69257027" w14:paraId="6D8DDFC5" w14:textId="009B248C">
      <w:pPr>
        <w:rPr>
          <w:rStyle w:val="Heading3Char"/>
          <w:rFonts w:ascii="Calibri" w:hAnsi="Calibri" w:cs="Calibri"/>
          <w:color w:val="auto"/>
          <w:lang w:val="en-GB"/>
        </w:rPr>
      </w:pPr>
      <w:r w:rsidRPr="00466D0F">
        <w:rPr>
          <w:rStyle w:val="Heading3Char"/>
          <w:rFonts w:ascii="Calibri" w:hAnsi="Calibri" w:cs="Calibri"/>
          <w:color w:val="auto"/>
          <w:lang w:val="en-GB"/>
        </w:rPr>
        <w:t>The model would offer a proportionate and flexible solution to improving coverage in hard-to-reach areas, while maintaining alignment with commissioning and procurement frameworks. It is also intended to support greater market sustainability in locations where provider turnover has historically been high, with some providers unable to sustain operations beyond 12 months due to low demand and limited financial viability.</w:t>
      </w:r>
    </w:p>
    <w:p w:rsidRPr="00466D0F" w:rsidR="00DB2184" w:rsidP="00F010DE" w:rsidRDefault="00DB2184" w14:paraId="5CA0AE3E" w14:textId="77777777">
      <w:pPr>
        <w:rPr>
          <w:rStyle w:val="Heading3Char"/>
          <w:rFonts w:ascii="Calibri" w:hAnsi="Calibri" w:cs="Calibri"/>
          <w:color w:val="auto"/>
          <w:lang w:val="en-GB"/>
        </w:rPr>
      </w:pPr>
    </w:p>
    <w:p w:rsidRPr="00466D0F" w:rsidR="001C3530" w:rsidP="004D40E6" w:rsidRDefault="001C3530" w14:paraId="35748072" w14:textId="6A6F0C94">
      <w:pPr>
        <w:pStyle w:val="Heading2"/>
        <w:rPr>
          <w:kern w:val="2"/>
          <w:lang w:eastAsia="en-GB"/>
          <w14:ligatures w14:val="standardContextual"/>
        </w:rPr>
      </w:pPr>
      <w:bookmarkStart w:name="_Toc231656208" w:id="45"/>
      <w:r w:rsidRPr="00466D0F">
        <w:t>Planned changes to monitoring or commissioning approach</w:t>
      </w:r>
      <w:bookmarkEnd w:id="45"/>
    </w:p>
    <w:p w:rsidRPr="00466D0F" w:rsidR="001A26A4" w:rsidP="00F010DE" w:rsidRDefault="001A26A4" w14:paraId="11669754" w14:textId="77777777">
      <w:pPr>
        <w:rPr>
          <w:lang w:val="en-GB"/>
        </w:rPr>
      </w:pPr>
      <w:r w:rsidRPr="00466D0F">
        <w:rPr>
          <w:lang w:val="en-GB"/>
        </w:rPr>
        <w:t>The embedding of quarterly and annual quality and contract assessments across the market will be a significant change to provider monitoring. The revised approach will improve market oversight, enable earlier identification of risk, strengthen improvement planning, and provide a more consistent evidence base for commissioning decisions. This is intended to support stronger quality and contract discipline, better use of intelligence, and more targeted market development.</w:t>
      </w:r>
    </w:p>
    <w:p w:rsidRPr="00466D0F" w:rsidR="003307CA" w:rsidP="00F010DE" w:rsidRDefault="003307CA" w14:paraId="507A5343" w14:textId="77777777">
      <w:pPr>
        <w:rPr>
          <w:kern w:val="2"/>
          <w:lang w:val="en-GB" w:eastAsia="en-GB"/>
          <w14:ligatures w14:val="standardContextual"/>
        </w:rPr>
      </w:pPr>
    </w:p>
    <w:p w:rsidRPr="00466D0F" w:rsidR="001A26A4" w:rsidP="00F010DE" w:rsidRDefault="001A26A4" w14:paraId="4F38F3DF" w14:textId="77777777">
      <w:pPr>
        <w:rPr>
          <w:lang w:val="en-GB"/>
        </w:rPr>
      </w:pPr>
      <w:r w:rsidRPr="00466D0F">
        <w:rPr>
          <w:lang w:val="en-GB"/>
        </w:rPr>
        <w:t>Planned changes also include stronger management of soft intelligence, greater use of automation where this improves consistency and timeliness, and fuller use of PAMMS Landscape to support provider-level and market-level reporting.</w:t>
      </w:r>
    </w:p>
    <w:p w:rsidRPr="00466D0F" w:rsidR="003307CA" w:rsidP="00F010DE" w:rsidRDefault="003307CA" w14:paraId="47465616" w14:textId="77777777">
      <w:pPr>
        <w:rPr>
          <w:kern w:val="2"/>
          <w:lang w:val="en-GB" w:eastAsia="en-GB"/>
          <w14:ligatures w14:val="standardContextual"/>
        </w:rPr>
      </w:pPr>
    </w:p>
    <w:p w:rsidRPr="00466D0F" w:rsidR="001A26A4" w:rsidP="00F010DE" w:rsidRDefault="001A26A4" w14:paraId="328106BB" w14:textId="77777777">
      <w:pPr>
        <w:rPr>
          <w:kern w:val="2"/>
          <w:lang w:val="en-GB" w:eastAsia="en-GB"/>
          <w14:ligatures w14:val="standardContextual"/>
        </w:rPr>
      </w:pPr>
      <w:r w:rsidRPr="00466D0F">
        <w:rPr>
          <w:lang w:val="en-GB"/>
        </w:rPr>
        <w:t>An integrated data approach across ASC Commissioning will map current reporting arrangements across contracts, brokerage, quality and strategic commissioning, identify gaps, and consolidate dashboards into a single aligned reporting framework. This will help ensure that reporting is not developed in silos, improve decision-making, reduce duplication, and strengthen ASC’s ability to track delivery against its 2026-27 priorities.</w:t>
      </w:r>
    </w:p>
    <w:sectPr w:rsidRPr="00466D0F" w:rsidR="001A26A4" w:rsidSect="006232EC">
      <w:footerReference w:type="default" r:id="rId33"/>
      <w:pgSz w:w="12240" w:h="15840" w:orient="portrait"/>
      <w:pgMar w:top="1134" w:right="1134" w:bottom="1134" w:left="1134" w:header="720" w:footer="476"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B0342" w:rsidP="00721298" w:rsidRDefault="000B0342" w14:paraId="578B0C10" w14:textId="77777777">
      <w:r>
        <w:separator/>
      </w:r>
    </w:p>
  </w:endnote>
  <w:endnote w:type="continuationSeparator" w:id="0">
    <w:p w:rsidR="000B0342" w:rsidP="00721298" w:rsidRDefault="000B0342" w14:paraId="0CD852E9"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Aptos">
    <w:altName w:val="Calibri"/>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9103101"/>
      <w:docPartObj>
        <w:docPartGallery w:val="Page Numbers (Bottom of Page)"/>
        <w:docPartUnique/>
      </w:docPartObj>
    </w:sdtPr>
    <w:sdtContent>
      <w:sdt>
        <w:sdtPr>
          <w:id w:val="-1515058354"/>
          <w:docPartObj>
            <w:docPartGallery w:val="Page Numbers (Top of Page)"/>
            <w:docPartUnique/>
          </w:docPartObj>
        </w:sdtPr>
        <w:sdtContent>
          <w:p w:rsidR="007E4401" w:rsidP="001D46C7" w:rsidRDefault="007E4401" w14:paraId="7CD54EA0" w14:textId="1DF549CD">
            <w:pPr>
              <w:pStyle w:val="Footer"/>
              <w:pBdr>
                <w:top w:val="single" w:color="156082" w:themeColor="accent1" w:sz="8" w:space="1"/>
              </w:pBdr>
              <w:tabs>
                <w:tab w:val="clear" w:pos="4513"/>
                <w:tab w:val="clear" w:pos="9026"/>
                <w:tab w:val="right" w:pos="9923"/>
              </w:tabs>
            </w:pPr>
            <w:r>
              <w:t>Gloucestershire Market Report 2025 – 2026</w:t>
            </w:r>
            <w:r>
              <w:tab/>
            </w: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p>
        </w:sdtContent>
      </w:sdt>
    </w:sdtContent>
  </w:sdt>
  <w:p w:rsidR="007E4401" w:rsidRDefault="007E4401" w14:paraId="1E365B1F"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B0342" w:rsidP="00721298" w:rsidRDefault="000B0342" w14:paraId="2D5D761B" w14:textId="77777777">
      <w:r>
        <w:separator/>
      </w:r>
    </w:p>
  </w:footnote>
  <w:footnote w:type="continuationSeparator" w:id="0">
    <w:p w:rsidR="000B0342" w:rsidP="00721298" w:rsidRDefault="000B0342" w14:paraId="191A5340" w14:textId="77777777">
      <w:r>
        <w:continuationSeparator/>
      </w:r>
    </w:p>
  </w:footnote>
  <w:footnote w:id="1">
    <w:p w:rsidRPr="006B36F8" w:rsidR="006B36F8" w:rsidRDefault="006B36F8" w14:paraId="1A2A11F1" w14:textId="30EDDA7F">
      <w:pPr>
        <w:pStyle w:val="FootnoteText"/>
        <w:rPr>
          <w:lang w:val="en-GB"/>
        </w:rPr>
      </w:pPr>
      <w:r>
        <w:rPr>
          <w:rStyle w:val="FootnoteReference"/>
        </w:rPr>
        <w:footnoteRef/>
      </w:r>
      <w:r>
        <w:t xml:space="preserve"> </w:t>
      </w:r>
      <w:hyperlink w:history="1" r:id="rId1">
        <w:r w:rsidRPr="0039797E" w:rsidR="0039797E">
          <w:rPr>
            <w:rStyle w:val="Hyperlink"/>
          </w:rPr>
          <w:t>Gloucestershire market position statement (MPS) 2024 | Gloucestershire County Council</w:t>
        </w:r>
      </w:hyperlink>
    </w:p>
  </w:footnote>
  <w:footnote w:id="2">
    <w:p w:rsidRPr="00BE1040" w:rsidR="00BE1040" w:rsidRDefault="00BE1040" w14:paraId="537E91FF" w14:textId="2798DE94">
      <w:pPr>
        <w:pStyle w:val="FootnoteText"/>
        <w:rPr>
          <w:lang w:val="en-GB"/>
        </w:rPr>
      </w:pPr>
      <w:r>
        <w:rPr>
          <w:rStyle w:val="FootnoteReference"/>
        </w:rPr>
        <w:footnoteRef/>
      </w:r>
      <w:r>
        <w:t xml:space="preserve"> </w:t>
      </w:r>
      <w:hyperlink w:history="1" r:id="rId2">
        <w:r w:rsidRPr="009B17BB" w:rsidR="00131932">
          <w:rPr>
            <w:rStyle w:val="Hyperlink"/>
          </w:rPr>
          <w:t>https://www.gov.uk/government/publications/adult-social-care-market-shaping/adult-social-care-market-shaping</w:t>
        </w:r>
      </w:hyperlink>
      <w:r w:rsidR="00131932">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721298" w:rsidRDefault="00C87992" w14:paraId="6C570802" w14:textId="264C48FA">
    <w:pPr>
      <w:pStyle w:val="Header"/>
    </w:pPr>
    <w:r>
      <w:rPr>
        <w:noProof/>
      </w:rPr>
      <mc:AlternateContent>
        <mc:Choice Requires="wps">
          <w:drawing>
            <wp:anchor distT="0" distB="0" distL="0" distR="0" simplePos="0" relativeHeight="251658241" behindDoc="0" locked="0" layoutInCell="1" allowOverlap="1" wp14:anchorId="57986600" wp14:editId="696EB4F7">
              <wp:simplePos x="635" y="635"/>
              <wp:positionH relativeFrom="page">
                <wp:align>left</wp:align>
              </wp:positionH>
              <wp:positionV relativeFrom="page">
                <wp:align>top</wp:align>
              </wp:positionV>
              <wp:extent cx="2273300" cy="345440"/>
              <wp:effectExtent l="0" t="0" r="12700" b="16510"/>
              <wp:wrapNone/>
              <wp:docPr id="1098221333" name="Text Box 7" descr="Official Sensitive - Restricted Sharing">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273300" cy="345440"/>
                      </a:xfrm>
                      <a:prstGeom prst="rect">
                        <a:avLst/>
                      </a:prstGeom>
                      <a:noFill/>
                      <a:ln>
                        <a:noFill/>
                      </a:ln>
                    </wps:spPr>
                    <wps:txbx>
                      <w:txbxContent>
                        <w:p w:rsidRPr="00C87992" w:rsidR="00C87992" w:rsidP="00C87992" w:rsidRDefault="00C87992" w14:paraId="3E3A0FCA" w14:textId="547C9C69">
                          <w:pPr>
                            <w:rPr>
                              <w:rFonts w:ascii="Aptos" w:hAnsi="Aptos" w:eastAsia="Aptos" w:cs="Aptos"/>
                              <w:noProof/>
                              <w:color w:val="000000"/>
                              <w:sz w:val="20"/>
                              <w:szCs w:val="20"/>
                            </w:rPr>
                          </w:pPr>
                          <w:r w:rsidRPr="00C87992">
                            <w:rPr>
                              <w:rFonts w:ascii="Aptos" w:hAnsi="Aptos" w:eastAsia="Aptos" w:cs="Aptos"/>
                              <w:noProof/>
                              <w:color w:val="000000"/>
                              <w:sz w:val="20"/>
                              <w:szCs w:val="20"/>
                            </w:rPr>
                            <w:t>Official Sensitive - Restricted Sharing</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xmlns:arto="http://schemas.microsoft.com/office/word/2006/arto" xmlns:aclsh="http://schemas.microsoft.com/office/drawing/2020/classificationShape" xmlns:a="http://schemas.openxmlformats.org/drawingml/2006/main" xmlns:w16cei="http://schemas.microsoft.com/office/word/2026/wordml/cei">
          <w:pict w14:anchorId="55AD3090">
            <v:shapetype id="_x0000_t202" coordsize="21600,21600" o:spt="202" path="m,l,21600r21600,l21600,xe" w14:anchorId="57986600">
              <v:stroke joinstyle="miter"/>
              <v:path gradientshapeok="t" o:connecttype="rect"/>
            </v:shapetype>
            <v:shape id="Text Box 7" style="position:absolute;margin-left:0;margin-top:0;width:179pt;height:27.2pt;z-index:251658241;visibility:visible;mso-wrap-style:none;mso-wrap-distance-left:0;mso-wrap-distance-top:0;mso-wrap-distance-right:0;mso-wrap-distance-bottom:0;mso-position-horizontal:left;mso-position-horizontal-relative:page;mso-position-vertical:top;mso-position-vertical-relative:page;v-text-anchor:top" alt="Official Sensitive - Restricted Sharing"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">
              <v:textbox style="mso-fit-shape-to-text:t" inset="20pt,15pt,0,0">
                <w:txbxContent>
                  <w:p w:rsidRPr="00C87992" w:rsidR="00C87992" w:rsidP="00C87992" w:rsidRDefault="00C87992" w14:paraId="6416B1C7" w14:textId="547C9C69">
                    <w:pPr>
                      <w:rPr>
                        <w:rFonts w:ascii="Aptos" w:hAnsi="Aptos" w:eastAsia="Aptos" w:cs="Aptos"/>
                        <w:noProof/>
                        <w:color w:val="000000"/>
                        <w:sz w:val="20"/>
                        <w:szCs w:val="20"/>
                      </w:rPr>
                    </w:pPr>
                    <w:r w:rsidRPr="00C87992">
                      <w:rPr>
                        <w:rFonts w:ascii="Aptos" w:hAnsi="Aptos" w:eastAsia="Aptos" w:cs="Aptos"/>
                        <w:noProof/>
                        <w:color w:val="000000"/>
                        <w:sz w:val="20"/>
                        <w:szCs w:val="20"/>
                      </w:rPr>
                      <w:t>Official Sensitive - Restricted Sharing</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xmlns:pic="http://schemas.openxmlformats.org/drawingml/2006/picture" xmlns:a14="http://schemas.microsoft.com/office/drawing/2010/main" mc:Ignorable="w14 w15 w16se w16cid w16 w16cex w16sdtdh w16sdtfl w16du wp14">
  <w:p w:rsidRPr="005851F4" w:rsidR="005851F4" w:rsidP="00F448AA" w:rsidRDefault="00C87992" w14:paraId="3D1F7386" w14:textId="367ABA8F">
    <w:pPr>
      <w:spacing w:before="100" w:beforeAutospacing="1" w:after="100" w:afterAutospacing="1"/>
      <w:jc w:val="right"/>
      <w:rPr>
        <w:rFonts w:ascii="Times New Roman" w:hAnsi="Times New Roman" w:eastAsia="Times New Roman" w:cs="Times New Roman"/>
        <w:lang w:val="en-GB" w:eastAsia="en-GB"/>
      </w:rPr>
    </w:pPr>
    <w:r>
      <w:rPr>
        <w:rFonts w:ascii="Times New Roman" w:hAnsi="Times New Roman" w:eastAsia="Times New Roman" w:cs="Times New Roman"/>
        <w:noProof/>
        <w:lang w:val="en-GB" w:eastAsia="en-GB"/>
      </w:rPr>
      <mc:AlternateContent>
        <mc:Choice Requires="wps">
          <w:drawing>
            <wp:anchor distT="0" distB="0" distL="0" distR="0" simplePos="0" relativeHeight="251658242" behindDoc="0" locked="0" layoutInCell="1" allowOverlap="1" wp14:anchorId="1D53D392" wp14:editId="7A6D919B">
              <wp:simplePos x="724395" y="463138"/>
              <wp:positionH relativeFrom="page">
                <wp:align>left</wp:align>
              </wp:positionH>
              <wp:positionV relativeFrom="page">
                <wp:align>top</wp:align>
              </wp:positionV>
              <wp:extent cx="2273300" cy="345440"/>
              <wp:effectExtent l="0" t="0" r="12700" b="16510"/>
              <wp:wrapNone/>
              <wp:docPr id="1899930745" name="Text Box 8" descr="Official Sensitive - Restricted Sharing">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273300" cy="345440"/>
                      </a:xfrm>
                      <a:prstGeom prst="rect">
                        <a:avLst/>
                      </a:prstGeom>
                      <a:noFill/>
                      <a:ln>
                        <a:noFill/>
                      </a:ln>
                    </wps:spPr>
                    <wps:txbx>
                      <w:txbxContent>
                        <w:p w:rsidRPr="00C87992" w:rsidR="00C87992" w:rsidP="00C87992" w:rsidRDefault="00C87992" w14:paraId="52B64BB7" w14:textId="36838F10">
                          <w:pPr>
                            <w:rPr>
                              <w:rFonts w:ascii="Aptos" w:hAnsi="Aptos" w:eastAsia="Aptos" w:cs="Aptos"/>
                              <w:noProof/>
                              <w:color w:val="000000"/>
                              <w:sz w:val="20"/>
                              <w:szCs w:val="20"/>
                            </w:rPr>
                          </w:pPr>
                          <w:r w:rsidRPr="00C87992">
                            <w:rPr>
                              <w:rFonts w:ascii="Aptos" w:hAnsi="Aptos" w:eastAsia="Aptos" w:cs="Aptos"/>
                              <w:noProof/>
                              <w:color w:val="000000"/>
                              <w:sz w:val="20"/>
                              <w:szCs w:val="20"/>
                            </w:rPr>
                            <w:t>Official Sensitive - Restricted Sharing</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xmlns:arto="http://schemas.microsoft.com/office/word/2006/arto" xmlns:a14="http://schemas.microsoft.com/office/drawing/2010/main" xmlns:pic="http://schemas.openxmlformats.org/drawingml/2006/picture" xmlns:aclsh="http://schemas.microsoft.com/office/drawing/2020/classificationShape" xmlns:a="http://schemas.openxmlformats.org/drawingml/2006/main" xmlns:w16cei="http://schemas.microsoft.com/office/word/2026/wordml/cei">
          <w:pict w14:anchorId="37E76A2E">
            <v:shapetype id="_x0000_t202" coordsize="21600,21600" o:spt="202" path="m,l,21600r21600,l21600,xe" w14:anchorId="1D53D392">
              <v:stroke joinstyle="miter"/>
              <v:path gradientshapeok="t" o:connecttype="rect"/>
            </v:shapetype>
            <v:shape id="Text Box 8" style="position:absolute;left:0;text-align:left;margin-left:0;margin-top:0;width:179pt;height:27.2pt;z-index:251658242;visibility:visible;mso-wrap-style:none;mso-wrap-distance-left:0;mso-wrap-distance-top:0;mso-wrap-distance-right:0;mso-wrap-distance-bottom:0;mso-position-horizontal:left;mso-position-horizontal-relative:page;mso-position-vertical:top;mso-position-vertical-relative:page;v-text-anchor:top" alt="Official Sensitive - Restricted Sharing"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">
              <v:textbox style="mso-fit-shape-to-text:t" inset="20pt,15pt,0,0">
                <w:txbxContent>
                  <w:p w:rsidRPr="00C87992" w:rsidR="00C87992" w:rsidP="00C87992" w:rsidRDefault="00C87992" w14:paraId="01FA3186" w14:textId="36838F10">
                    <w:pPr>
                      <w:rPr>
                        <w:rFonts w:ascii="Aptos" w:hAnsi="Aptos" w:eastAsia="Aptos" w:cs="Aptos"/>
                        <w:noProof/>
                        <w:color w:val="000000"/>
                        <w:sz w:val="20"/>
                        <w:szCs w:val="20"/>
                      </w:rPr>
                    </w:pPr>
                    <w:r w:rsidRPr="00C87992">
                      <w:rPr>
                        <w:rFonts w:ascii="Aptos" w:hAnsi="Aptos" w:eastAsia="Aptos" w:cs="Aptos"/>
                        <w:noProof/>
                        <w:color w:val="000000"/>
                        <w:sz w:val="20"/>
                        <w:szCs w:val="20"/>
                      </w:rPr>
                      <w:t>Official Sensitive - Restricted Sharing</w:t>
                    </w:r>
                  </w:p>
                </w:txbxContent>
              </v:textbox>
              <w10:wrap anchorx="page" anchory="page"/>
            </v:shape>
          </w:pict>
        </mc:Fallback>
      </mc:AlternateContent>
    </w:r>
    <w:r w:rsidRPr="005851F4" w:rsidR="005851F4">
      <w:rPr>
        <w:rFonts w:ascii="Times New Roman" w:hAnsi="Times New Roman" w:eastAsia="Times New Roman" w:cs="Times New Roman"/>
        <w:noProof/>
        <w:lang w:val="en-GB" w:eastAsia="en-GB"/>
      </w:rPr>
      <w:drawing>
        <wp:inline distT="0" distB="0" distL="0" distR="0" wp14:anchorId="7A9FBF7B" wp14:editId="425ACD10">
          <wp:extent cx="2162175" cy="387700"/>
          <wp:effectExtent l="0" t="0" r="0" b="0"/>
          <wp:docPr id="154609466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14634" cy="397106"/>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721298" w:rsidRDefault="00C87992" w14:paraId="7577AD6B" w14:textId="420E260C">
    <w:pPr>
      <w:pStyle w:val="Header"/>
    </w:pPr>
    <w:r>
      <w:rPr>
        <w:noProof/>
      </w:rPr>
      <mc:AlternateContent>
        <mc:Choice Requires="wps">
          <w:drawing>
            <wp:anchor distT="0" distB="0" distL="0" distR="0" simplePos="0" relativeHeight="251658240" behindDoc="0" locked="0" layoutInCell="1" allowOverlap="1" wp14:anchorId="33D68103" wp14:editId="4615EEE0">
              <wp:simplePos x="635" y="635"/>
              <wp:positionH relativeFrom="page">
                <wp:align>left</wp:align>
              </wp:positionH>
              <wp:positionV relativeFrom="page">
                <wp:align>top</wp:align>
              </wp:positionV>
              <wp:extent cx="2273300" cy="345440"/>
              <wp:effectExtent l="0" t="0" r="12700" b="16510"/>
              <wp:wrapNone/>
              <wp:docPr id="1708967637" name="Text Box 6" descr="Official Sensitive - Restricted Sharing">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273300" cy="345440"/>
                      </a:xfrm>
                      <a:prstGeom prst="rect">
                        <a:avLst/>
                      </a:prstGeom>
                      <a:noFill/>
                      <a:ln>
                        <a:noFill/>
                      </a:ln>
                    </wps:spPr>
                    <wps:txbx>
                      <w:txbxContent>
                        <w:p w:rsidRPr="00C87992" w:rsidR="00C87992" w:rsidP="00C87992" w:rsidRDefault="00C87992" w14:paraId="37152B39" w14:textId="4227EB45">
                          <w:pPr>
                            <w:rPr>
                              <w:rFonts w:ascii="Aptos" w:hAnsi="Aptos" w:eastAsia="Aptos" w:cs="Aptos"/>
                              <w:noProof/>
                              <w:color w:val="000000"/>
                              <w:sz w:val="20"/>
                              <w:szCs w:val="20"/>
                            </w:rPr>
                          </w:pPr>
                          <w:r w:rsidRPr="00C87992">
                            <w:rPr>
                              <w:rFonts w:ascii="Aptos" w:hAnsi="Aptos" w:eastAsia="Aptos" w:cs="Aptos"/>
                              <w:noProof/>
                              <w:color w:val="000000"/>
                              <w:sz w:val="20"/>
                              <w:szCs w:val="20"/>
                            </w:rPr>
                            <w:t>Official Sensitive - Restricted Sharing</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xmlns:arto="http://schemas.microsoft.com/office/word/2006/arto" xmlns:aclsh="http://schemas.microsoft.com/office/drawing/2020/classificationShape" xmlns:a="http://schemas.openxmlformats.org/drawingml/2006/main" xmlns:w16cei="http://schemas.microsoft.com/office/word/2026/wordml/cei">
          <w:pict w14:anchorId="58705B5B">
            <v:shapetype id="_x0000_t202" coordsize="21600,21600" o:spt="202" path="m,l,21600r21600,l21600,xe" w14:anchorId="33D68103">
              <v:stroke joinstyle="miter"/>
              <v:path gradientshapeok="t" o:connecttype="rect"/>
            </v:shapetype>
            <v:shape id="Text Box 6" style="position:absolute;margin-left:0;margin-top:0;width:179pt;height:27.2pt;z-index:251658240;visibility:visible;mso-wrap-style:none;mso-wrap-distance-left:0;mso-wrap-distance-top:0;mso-wrap-distance-right:0;mso-wrap-distance-bottom:0;mso-position-horizontal:left;mso-position-horizontal-relative:page;mso-position-vertical:top;mso-position-vertical-relative:page;v-text-anchor:top" alt="Official Sensitive - Restricted Sharing"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">
              <v:textbox style="mso-fit-shape-to-text:t" inset="20pt,15pt,0,0">
                <w:txbxContent>
                  <w:p w:rsidRPr="00C87992" w:rsidR="00C87992" w:rsidP="00C87992" w:rsidRDefault="00C87992" w14:paraId="4C61BC97" w14:textId="4227EB45">
                    <w:pPr>
                      <w:rPr>
                        <w:rFonts w:ascii="Aptos" w:hAnsi="Aptos" w:eastAsia="Aptos" w:cs="Aptos"/>
                        <w:noProof/>
                        <w:color w:val="000000"/>
                        <w:sz w:val="20"/>
                        <w:szCs w:val="20"/>
                      </w:rPr>
                    </w:pPr>
                    <w:r w:rsidRPr="00C87992">
                      <w:rPr>
                        <w:rFonts w:ascii="Aptos" w:hAnsi="Aptos" w:eastAsia="Aptos" w:cs="Aptos"/>
                        <w:noProof/>
                        <w:color w:val="000000"/>
                        <w:sz w:val="20"/>
                        <w:szCs w:val="20"/>
                      </w:rPr>
                      <w:t>Official Sensitive - Restricted Sharing</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6DB95"/>
    <w:multiLevelType w:val="hybridMultilevel"/>
    <w:tmpl w:val="FFFFFFFF"/>
    <w:lvl w:ilvl="0" w:tplc="9288DA16">
      <w:start w:val="1"/>
      <w:numFmt w:val="bullet"/>
      <w:lvlText w:val="·"/>
      <w:lvlJc w:val="left"/>
      <w:pPr>
        <w:ind w:left="720" w:hanging="360"/>
      </w:pPr>
      <w:rPr>
        <w:rFonts w:hint="default" w:ascii="Symbol" w:hAnsi="Symbol"/>
      </w:rPr>
    </w:lvl>
    <w:lvl w:ilvl="1" w:tplc="37482B7C">
      <w:start w:val="1"/>
      <w:numFmt w:val="bullet"/>
      <w:lvlText w:val="o"/>
      <w:lvlJc w:val="left"/>
      <w:pPr>
        <w:ind w:left="1440" w:hanging="360"/>
      </w:pPr>
      <w:rPr>
        <w:rFonts w:hint="default" w:ascii="Courier New" w:hAnsi="Courier New"/>
      </w:rPr>
    </w:lvl>
    <w:lvl w:ilvl="2" w:tplc="86247C1E">
      <w:start w:val="1"/>
      <w:numFmt w:val="bullet"/>
      <w:lvlText w:val=""/>
      <w:lvlJc w:val="left"/>
      <w:pPr>
        <w:ind w:left="2160" w:hanging="360"/>
      </w:pPr>
      <w:rPr>
        <w:rFonts w:hint="default" w:ascii="Wingdings" w:hAnsi="Wingdings"/>
      </w:rPr>
    </w:lvl>
    <w:lvl w:ilvl="3" w:tplc="1572FDAC">
      <w:start w:val="1"/>
      <w:numFmt w:val="bullet"/>
      <w:lvlText w:val=""/>
      <w:lvlJc w:val="left"/>
      <w:pPr>
        <w:ind w:left="2880" w:hanging="360"/>
      </w:pPr>
      <w:rPr>
        <w:rFonts w:hint="default" w:ascii="Symbol" w:hAnsi="Symbol"/>
      </w:rPr>
    </w:lvl>
    <w:lvl w:ilvl="4" w:tplc="5DEA2C84">
      <w:start w:val="1"/>
      <w:numFmt w:val="bullet"/>
      <w:lvlText w:val="o"/>
      <w:lvlJc w:val="left"/>
      <w:pPr>
        <w:ind w:left="3600" w:hanging="360"/>
      </w:pPr>
      <w:rPr>
        <w:rFonts w:hint="default" w:ascii="Courier New" w:hAnsi="Courier New"/>
      </w:rPr>
    </w:lvl>
    <w:lvl w:ilvl="5" w:tplc="25B4C018">
      <w:start w:val="1"/>
      <w:numFmt w:val="bullet"/>
      <w:lvlText w:val=""/>
      <w:lvlJc w:val="left"/>
      <w:pPr>
        <w:ind w:left="4320" w:hanging="360"/>
      </w:pPr>
      <w:rPr>
        <w:rFonts w:hint="default" w:ascii="Wingdings" w:hAnsi="Wingdings"/>
      </w:rPr>
    </w:lvl>
    <w:lvl w:ilvl="6" w:tplc="D32CF582">
      <w:start w:val="1"/>
      <w:numFmt w:val="bullet"/>
      <w:lvlText w:val=""/>
      <w:lvlJc w:val="left"/>
      <w:pPr>
        <w:ind w:left="5040" w:hanging="360"/>
      </w:pPr>
      <w:rPr>
        <w:rFonts w:hint="default" w:ascii="Symbol" w:hAnsi="Symbol"/>
      </w:rPr>
    </w:lvl>
    <w:lvl w:ilvl="7" w:tplc="4178F3A6">
      <w:start w:val="1"/>
      <w:numFmt w:val="bullet"/>
      <w:lvlText w:val="o"/>
      <w:lvlJc w:val="left"/>
      <w:pPr>
        <w:ind w:left="5760" w:hanging="360"/>
      </w:pPr>
      <w:rPr>
        <w:rFonts w:hint="default" w:ascii="Courier New" w:hAnsi="Courier New"/>
      </w:rPr>
    </w:lvl>
    <w:lvl w:ilvl="8" w:tplc="E16C7D42">
      <w:start w:val="1"/>
      <w:numFmt w:val="bullet"/>
      <w:lvlText w:val=""/>
      <w:lvlJc w:val="left"/>
      <w:pPr>
        <w:ind w:left="6480" w:hanging="360"/>
      </w:pPr>
      <w:rPr>
        <w:rFonts w:hint="default" w:ascii="Wingdings" w:hAnsi="Wingdings"/>
      </w:rPr>
    </w:lvl>
  </w:abstractNum>
  <w:abstractNum w:abstractNumId="1" w15:restartNumberingAfterBreak="0">
    <w:nsid w:val="0D930179"/>
    <w:multiLevelType w:val="hybridMultilevel"/>
    <w:tmpl w:val="4A028B9E"/>
    <w:lvl w:ilvl="0" w:tplc="018A48EC">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112D271A"/>
    <w:multiLevelType w:val="hybridMultilevel"/>
    <w:tmpl w:val="6F00AFA2"/>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11FB09D4"/>
    <w:multiLevelType w:val="hybridMultilevel"/>
    <w:tmpl w:val="7DB4C4E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185F3CBC"/>
    <w:multiLevelType w:val="hybridMultilevel"/>
    <w:tmpl w:val="5DB0C5E6"/>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5" w15:restartNumberingAfterBreak="0">
    <w:nsid w:val="1A027B83"/>
    <w:multiLevelType w:val="hybridMultilevel"/>
    <w:tmpl w:val="410235F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1A567FC4"/>
    <w:multiLevelType w:val="hybridMultilevel"/>
    <w:tmpl w:val="CAD27F8C"/>
    <w:lvl w:ilvl="0" w:tplc="018A48EC">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22000874"/>
    <w:multiLevelType w:val="hybridMultilevel"/>
    <w:tmpl w:val="F780B582"/>
    <w:lvl w:ilvl="0" w:tplc="018A48EC">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2520BBDA"/>
    <w:multiLevelType w:val="hybridMultilevel"/>
    <w:tmpl w:val="FFFFFFFF"/>
    <w:lvl w:ilvl="0" w:tplc="018A48EC">
      <w:start w:val="1"/>
      <w:numFmt w:val="bullet"/>
      <w:lvlText w:val=""/>
      <w:lvlJc w:val="left"/>
      <w:pPr>
        <w:ind w:left="720" w:hanging="360"/>
      </w:pPr>
      <w:rPr>
        <w:rFonts w:hint="default" w:ascii="Symbol" w:hAnsi="Symbol"/>
      </w:rPr>
    </w:lvl>
    <w:lvl w:ilvl="1" w:tplc="0E1208E2">
      <w:start w:val="1"/>
      <w:numFmt w:val="bullet"/>
      <w:lvlText w:val="o"/>
      <w:lvlJc w:val="left"/>
      <w:pPr>
        <w:ind w:left="1440" w:hanging="360"/>
      </w:pPr>
      <w:rPr>
        <w:rFonts w:hint="default" w:ascii="Courier New" w:hAnsi="Courier New"/>
      </w:rPr>
    </w:lvl>
    <w:lvl w:ilvl="2" w:tplc="470C1740">
      <w:start w:val="1"/>
      <w:numFmt w:val="bullet"/>
      <w:lvlText w:val=""/>
      <w:lvlJc w:val="left"/>
      <w:pPr>
        <w:ind w:left="2160" w:hanging="360"/>
      </w:pPr>
      <w:rPr>
        <w:rFonts w:hint="default" w:ascii="Wingdings" w:hAnsi="Wingdings"/>
      </w:rPr>
    </w:lvl>
    <w:lvl w:ilvl="3" w:tplc="306E45F4">
      <w:start w:val="1"/>
      <w:numFmt w:val="bullet"/>
      <w:lvlText w:val=""/>
      <w:lvlJc w:val="left"/>
      <w:pPr>
        <w:ind w:left="2880" w:hanging="360"/>
      </w:pPr>
      <w:rPr>
        <w:rFonts w:hint="default" w:ascii="Symbol" w:hAnsi="Symbol"/>
      </w:rPr>
    </w:lvl>
    <w:lvl w:ilvl="4" w:tplc="02FE385E">
      <w:start w:val="1"/>
      <w:numFmt w:val="bullet"/>
      <w:lvlText w:val="o"/>
      <w:lvlJc w:val="left"/>
      <w:pPr>
        <w:ind w:left="3600" w:hanging="360"/>
      </w:pPr>
      <w:rPr>
        <w:rFonts w:hint="default" w:ascii="Courier New" w:hAnsi="Courier New"/>
      </w:rPr>
    </w:lvl>
    <w:lvl w:ilvl="5" w:tplc="EBA49114">
      <w:start w:val="1"/>
      <w:numFmt w:val="bullet"/>
      <w:lvlText w:val=""/>
      <w:lvlJc w:val="left"/>
      <w:pPr>
        <w:ind w:left="4320" w:hanging="360"/>
      </w:pPr>
      <w:rPr>
        <w:rFonts w:hint="default" w:ascii="Wingdings" w:hAnsi="Wingdings"/>
      </w:rPr>
    </w:lvl>
    <w:lvl w:ilvl="6" w:tplc="36E0813E">
      <w:start w:val="1"/>
      <w:numFmt w:val="bullet"/>
      <w:lvlText w:val=""/>
      <w:lvlJc w:val="left"/>
      <w:pPr>
        <w:ind w:left="5040" w:hanging="360"/>
      </w:pPr>
      <w:rPr>
        <w:rFonts w:hint="default" w:ascii="Symbol" w:hAnsi="Symbol"/>
      </w:rPr>
    </w:lvl>
    <w:lvl w:ilvl="7" w:tplc="A26CB29E">
      <w:start w:val="1"/>
      <w:numFmt w:val="bullet"/>
      <w:lvlText w:val="o"/>
      <w:lvlJc w:val="left"/>
      <w:pPr>
        <w:ind w:left="5760" w:hanging="360"/>
      </w:pPr>
      <w:rPr>
        <w:rFonts w:hint="default" w:ascii="Courier New" w:hAnsi="Courier New"/>
      </w:rPr>
    </w:lvl>
    <w:lvl w:ilvl="8" w:tplc="0C72C200">
      <w:start w:val="1"/>
      <w:numFmt w:val="bullet"/>
      <w:lvlText w:val=""/>
      <w:lvlJc w:val="left"/>
      <w:pPr>
        <w:ind w:left="6480" w:hanging="360"/>
      </w:pPr>
      <w:rPr>
        <w:rFonts w:hint="default" w:ascii="Wingdings" w:hAnsi="Wingdings"/>
      </w:rPr>
    </w:lvl>
  </w:abstractNum>
  <w:abstractNum w:abstractNumId="9" w15:restartNumberingAfterBreak="0">
    <w:nsid w:val="2678723C"/>
    <w:multiLevelType w:val="multilevel"/>
    <w:tmpl w:val="79D0ADF6"/>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27A5174E"/>
    <w:multiLevelType w:val="multilevel"/>
    <w:tmpl w:val="87D21CB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282B2DC0"/>
    <w:multiLevelType w:val="hybridMultilevel"/>
    <w:tmpl w:val="D81E9D22"/>
    <w:lvl w:ilvl="0" w:tplc="A8BCCFF4">
      <w:start w:val="1"/>
      <w:numFmt w:val="bullet"/>
      <w:lvlText w:val="•"/>
      <w:lvlJc w:val="left"/>
      <w:pPr>
        <w:tabs>
          <w:tab w:val="num" w:pos="720"/>
        </w:tabs>
        <w:ind w:left="720" w:hanging="360"/>
      </w:pPr>
      <w:rPr>
        <w:rFonts w:hint="default" w:ascii="Arial" w:hAnsi="Arial"/>
      </w:rPr>
    </w:lvl>
    <w:lvl w:ilvl="1" w:tplc="5F3C02F8" w:tentative="1">
      <w:start w:val="1"/>
      <w:numFmt w:val="bullet"/>
      <w:lvlText w:val="•"/>
      <w:lvlJc w:val="left"/>
      <w:pPr>
        <w:tabs>
          <w:tab w:val="num" w:pos="1440"/>
        </w:tabs>
        <w:ind w:left="1440" w:hanging="360"/>
      </w:pPr>
      <w:rPr>
        <w:rFonts w:hint="default" w:ascii="Arial" w:hAnsi="Arial"/>
      </w:rPr>
    </w:lvl>
    <w:lvl w:ilvl="2" w:tplc="40485C3C" w:tentative="1">
      <w:start w:val="1"/>
      <w:numFmt w:val="bullet"/>
      <w:lvlText w:val="•"/>
      <w:lvlJc w:val="left"/>
      <w:pPr>
        <w:tabs>
          <w:tab w:val="num" w:pos="2160"/>
        </w:tabs>
        <w:ind w:left="2160" w:hanging="360"/>
      </w:pPr>
      <w:rPr>
        <w:rFonts w:hint="default" w:ascii="Arial" w:hAnsi="Arial"/>
      </w:rPr>
    </w:lvl>
    <w:lvl w:ilvl="3" w:tplc="C6BCB97C" w:tentative="1">
      <w:start w:val="1"/>
      <w:numFmt w:val="bullet"/>
      <w:lvlText w:val="•"/>
      <w:lvlJc w:val="left"/>
      <w:pPr>
        <w:tabs>
          <w:tab w:val="num" w:pos="2880"/>
        </w:tabs>
        <w:ind w:left="2880" w:hanging="360"/>
      </w:pPr>
      <w:rPr>
        <w:rFonts w:hint="default" w:ascii="Arial" w:hAnsi="Arial"/>
      </w:rPr>
    </w:lvl>
    <w:lvl w:ilvl="4" w:tplc="578023D2" w:tentative="1">
      <w:start w:val="1"/>
      <w:numFmt w:val="bullet"/>
      <w:lvlText w:val="•"/>
      <w:lvlJc w:val="left"/>
      <w:pPr>
        <w:tabs>
          <w:tab w:val="num" w:pos="3600"/>
        </w:tabs>
        <w:ind w:left="3600" w:hanging="360"/>
      </w:pPr>
      <w:rPr>
        <w:rFonts w:hint="default" w:ascii="Arial" w:hAnsi="Arial"/>
      </w:rPr>
    </w:lvl>
    <w:lvl w:ilvl="5" w:tplc="B76E6AAA" w:tentative="1">
      <w:start w:val="1"/>
      <w:numFmt w:val="bullet"/>
      <w:lvlText w:val="•"/>
      <w:lvlJc w:val="left"/>
      <w:pPr>
        <w:tabs>
          <w:tab w:val="num" w:pos="4320"/>
        </w:tabs>
        <w:ind w:left="4320" w:hanging="360"/>
      </w:pPr>
      <w:rPr>
        <w:rFonts w:hint="default" w:ascii="Arial" w:hAnsi="Arial"/>
      </w:rPr>
    </w:lvl>
    <w:lvl w:ilvl="6" w:tplc="78D62FDE" w:tentative="1">
      <w:start w:val="1"/>
      <w:numFmt w:val="bullet"/>
      <w:lvlText w:val="•"/>
      <w:lvlJc w:val="left"/>
      <w:pPr>
        <w:tabs>
          <w:tab w:val="num" w:pos="5040"/>
        </w:tabs>
        <w:ind w:left="5040" w:hanging="360"/>
      </w:pPr>
      <w:rPr>
        <w:rFonts w:hint="default" w:ascii="Arial" w:hAnsi="Arial"/>
      </w:rPr>
    </w:lvl>
    <w:lvl w:ilvl="7" w:tplc="A27AA72A" w:tentative="1">
      <w:start w:val="1"/>
      <w:numFmt w:val="bullet"/>
      <w:lvlText w:val="•"/>
      <w:lvlJc w:val="left"/>
      <w:pPr>
        <w:tabs>
          <w:tab w:val="num" w:pos="5760"/>
        </w:tabs>
        <w:ind w:left="5760" w:hanging="360"/>
      </w:pPr>
      <w:rPr>
        <w:rFonts w:hint="default" w:ascii="Arial" w:hAnsi="Arial"/>
      </w:rPr>
    </w:lvl>
    <w:lvl w:ilvl="8" w:tplc="AB00C4E2" w:tentative="1">
      <w:start w:val="1"/>
      <w:numFmt w:val="bullet"/>
      <w:lvlText w:val="•"/>
      <w:lvlJc w:val="left"/>
      <w:pPr>
        <w:tabs>
          <w:tab w:val="num" w:pos="6480"/>
        </w:tabs>
        <w:ind w:left="6480" w:hanging="360"/>
      </w:pPr>
      <w:rPr>
        <w:rFonts w:hint="default" w:ascii="Arial" w:hAnsi="Arial"/>
      </w:rPr>
    </w:lvl>
  </w:abstractNum>
  <w:abstractNum w:abstractNumId="12" w15:restartNumberingAfterBreak="0">
    <w:nsid w:val="2D333BAE"/>
    <w:multiLevelType w:val="multilevel"/>
    <w:tmpl w:val="E6B65DE0"/>
    <w:lvl w:ilvl="0">
      <w:start w:val="1"/>
      <w:numFmt w:val="decimal"/>
      <w:pStyle w:val="Heading1"/>
      <w:lvlText w:val="%1."/>
      <w:lvlJc w:val="left"/>
      <w:pPr>
        <w:ind w:left="360" w:hanging="360"/>
      </w:pPr>
    </w:lvl>
    <w:lvl w:ilvl="1">
      <w:start w:val="1"/>
      <w:numFmt w:val="decimal"/>
      <w:pStyle w:val="Heading2"/>
      <w:lvlText w:val="%1.%2."/>
      <w:lvlJc w:val="left"/>
      <w:pPr>
        <w:ind w:left="792" w:hanging="432"/>
      </w:pPr>
      <w:rPr>
        <w:b/>
        <w:bCs/>
        <w:sz w:val="26"/>
        <w:szCs w:val="26"/>
      </w:rPr>
    </w:lvl>
    <w:lvl w:ilvl="2">
      <w:start w:val="1"/>
      <w:numFmt w:val="decimal"/>
      <w:lvlText w:val="%1.%2.%3."/>
      <w:lvlJc w:val="left"/>
      <w:pPr>
        <w:ind w:left="1224" w:hanging="504"/>
      </w:pPr>
      <w:rPr>
        <w:rFonts w:hint="default" w:ascii="Arial" w:hAnsi="Arial" w:cs="Arial"/>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27910B5"/>
    <w:multiLevelType w:val="multilevel"/>
    <w:tmpl w:val="660A2B2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 w15:restartNumberingAfterBreak="0">
    <w:nsid w:val="3529369D"/>
    <w:multiLevelType w:val="hybridMultilevel"/>
    <w:tmpl w:val="DAD4B346"/>
    <w:lvl w:ilvl="0" w:tplc="018A48EC">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354D0B94"/>
    <w:multiLevelType w:val="multilevel"/>
    <w:tmpl w:val="9E385BC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6" w15:restartNumberingAfterBreak="0">
    <w:nsid w:val="361DA5B7"/>
    <w:multiLevelType w:val="hybridMultilevel"/>
    <w:tmpl w:val="FFFFFFFF"/>
    <w:lvl w:ilvl="0" w:tplc="307AFCF2">
      <w:start w:val="1"/>
      <w:numFmt w:val="bullet"/>
      <w:lvlText w:val=""/>
      <w:lvlJc w:val="left"/>
      <w:pPr>
        <w:ind w:left="720" w:hanging="360"/>
      </w:pPr>
      <w:rPr>
        <w:rFonts w:hint="default" w:ascii="Symbol" w:hAnsi="Symbol"/>
      </w:rPr>
    </w:lvl>
    <w:lvl w:ilvl="1" w:tplc="7A98AE72">
      <w:start w:val="1"/>
      <w:numFmt w:val="bullet"/>
      <w:lvlText w:val="o"/>
      <w:lvlJc w:val="left"/>
      <w:pPr>
        <w:ind w:left="1440" w:hanging="360"/>
      </w:pPr>
      <w:rPr>
        <w:rFonts w:hint="default" w:ascii="Courier New" w:hAnsi="Courier New"/>
      </w:rPr>
    </w:lvl>
    <w:lvl w:ilvl="2" w:tplc="DB5AAB1E">
      <w:start w:val="1"/>
      <w:numFmt w:val="bullet"/>
      <w:lvlText w:val=""/>
      <w:lvlJc w:val="left"/>
      <w:pPr>
        <w:ind w:left="2160" w:hanging="360"/>
      </w:pPr>
      <w:rPr>
        <w:rFonts w:hint="default" w:ascii="Wingdings" w:hAnsi="Wingdings"/>
      </w:rPr>
    </w:lvl>
    <w:lvl w:ilvl="3" w:tplc="2C1A5030">
      <w:start w:val="1"/>
      <w:numFmt w:val="bullet"/>
      <w:lvlText w:val=""/>
      <w:lvlJc w:val="left"/>
      <w:pPr>
        <w:ind w:left="2880" w:hanging="360"/>
      </w:pPr>
      <w:rPr>
        <w:rFonts w:hint="default" w:ascii="Symbol" w:hAnsi="Symbol"/>
      </w:rPr>
    </w:lvl>
    <w:lvl w:ilvl="4" w:tplc="C746831A">
      <w:start w:val="1"/>
      <w:numFmt w:val="bullet"/>
      <w:lvlText w:val="o"/>
      <w:lvlJc w:val="left"/>
      <w:pPr>
        <w:ind w:left="3600" w:hanging="360"/>
      </w:pPr>
      <w:rPr>
        <w:rFonts w:hint="default" w:ascii="Courier New" w:hAnsi="Courier New"/>
      </w:rPr>
    </w:lvl>
    <w:lvl w:ilvl="5" w:tplc="E24AC6D2">
      <w:start w:val="1"/>
      <w:numFmt w:val="bullet"/>
      <w:lvlText w:val=""/>
      <w:lvlJc w:val="left"/>
      <w:pPr>
        <w:ind w:left="4320" w:hanging="360"/>
      </w:pPr>
      <w:rPr>
        <w:rFonts w:hint="default" w:ascii="Wingdings" w:hAnsi="Wingdings"/>
      </w:rPr>
    </w:lvl>
    <w:lvl w:ilvl="6" w:tplc="F4923F10">
      <w:start w:val="1"/>
      <w:numFmt w:val="bullet"/>
      <w:lvlText w:val=""/>
      <w:lvlJc w:val="left"/>
      <w:pPr>
        <w:ind w:left="5040" w:hanging="360"/>
      </w:pPr>
      <w:rPr>
        <w:rFonts w:hint="default" w:ascii="Symbol" w:hAnsi="Symbol"/>
      </w:rPr>
    </w:lvl>
    <w:lvl w:ilvl="7" w:tplc="98B0413E">
      <w:start w:val="1"/>
      <w:numFmt w:val="bullet"/>
      <w:lvlText w:val="o"/>
      <w:lvlJc w:val="left"/>
      <w:pPr>
        <w:ind w:left="5760" w:hanging="360"/>
      </w:pPr>
      <w:rPr>
        <w:rFonts w:hint="default" w:ascii="Courier New" w:hAnsi="Courier New"/>
      </w:rPr>
    </w:lvl>
    <w:lvl w:ilvl="8" w:tplc="4120BE5A">
      <w:start w:val="1"/>
      <w:numFmt w:val="bullet"/>
      <w:lvlText w:val=""/>
      <w:lvlJc w:val="left"/>
      <w:pPr>
        <w:ind w:left="6480" w:hanging="360"/>
      </w:pPr>
      <w:rPr>
        <w:rFonts w:hint="default" w:ascii="Wingdings" w:hAnsi="Wingdings"/>
      </w:rPr>
    </w:lvl>
  </w:abstractNum>
  <w:abstractNum w:abstractNumId="17" w15:restartNumberingAfterBreak="0">
    <w:nsid w:val="3FBE16EB"/>
    <w:multiLevelType w:val="multilevel"/>
    <w:tmpl w:val="D7489408"/>
    <w:lvl w:ilvl="0">
      <w:start w:val="10"/>
      <w:numFmt w:val="decimal"/>
      <w:lvlText w:val="%1"/>
      <w:lvlJc w:val="left"/>
      <w:pPr>
        <w:ind w:left="420" w:hanging="420"/>
      </w:pPr>
      <w:rPr>
        <w:rFonts w:hint="default" w:eastAsiaTheme="minorEastAsia"/>
        <w:color w:val="auto"/>
      </w:rPr>
    </w:lvl>
    <w:lvl w:ilvl="1">
      <w:start w:val="2"/>
      <w:numFmt w:val="decimal"/>
      <w:lvlText w:val="%1.%2"/>
      <w:lvlJc w:val="left"/>
      <w:pPr>
        <w:ind w:left="420" w:hanging="420"/>
      </w:pPr>
      <w:rPr>
        <w:rFonts w:hint="default" w:eastAsiaTheme="minorEastAsia"/>
        <w:color w:val="auto"/>
      </w:rPr>
    </w:lvl>
    <w:lvl w:ilvl="2">
      <w:start w:val="1"/>
      <w:numFmt w:val="decimal"/>
      <w:lvlText w:val="%1.%2.%3"/>
      <w:lvlJc w:val="left"/>
      <w:pPr>
        <w:ind w:left="720" w:hanging="720"/>
      </w:pPr>
      <w:rPr>
        <w:rFonts w:hint="default" w:eastAsiaTheme="minorEastAsia"/>
        <w:color w:val="auto"/>
      </w:rPr>
    </w:lvl>
    <w:lvl w:ilvl="3">
      <w:start w:val="1"/>
      <w:numFmt w:val="decimal"/>
      <w:lvlText w:val="%1.%2.%3.%4"/>
      <w:lvlJc w:val="left"/>
      <w:pPr>
        <w:ind w:left="720" w:hanging="720"/>
      </w:pPr>
      <w:rPr>
        <w:rFonts w:hint="default" w:eastAsiaTheme="minorEastAsia"/>
        <w:color w:val="auto"/>
      </w:rPr>
    </w:lvl>
    <w:lvl w:ilvl="4">
      <w:start w:val="1"/>
      <w:numFmt w:val="decimal"/>
      <w:lvlText w:val="%1.%2.%3.%4.%5"/>
      <w:lvlJc w:val="left"/>
      <w:pPr>
        <w:ind w:left="1080" w:hanging="1080"/>
      </w:pPr>
      <w:rPr>
        <w:rFonts w:hint="default" w:eastAsiaTheme="minorEastAsia"/>
        <w:color w:val="auto"/>
      </w:rPr>
    </w:lvl>
    <w:lvl w:ilvl="5">
      <w:start w:val="1"/>
      <w:numFmt w:val="decimal"/>
      <w:lvlText w:val="%1.%2.%3.%4.%5.%6"/>
      <w:lvlJc w:val="left"/>
      <w:pPr>
        <w:ind w:left="1080" w:hanging="1080"/>
      </w:pPr>
      <w:rPr>
        <w:rFonts w:hint="default" w:eastAsiaTheme="minorEastAsia"/>
        <w:color w:val="auto"/>
      </w:rPr>
    </w:lvl>
    <w:lvl w:ilvl="6">
      <w:start w:val="1"/>
      <w:numFmt w:val="decimal"/>
      <w:lvlText w:val="%1.%2.%3.%4.%5.%6.%7"/>
      <w:lvlJc w:val="left"/>
      <w:pPr>
        <w:ind w:left="1440" w:hanging="1440"/>
      </w:pPr>
      <w:rPr>
        <w:rFonts w:hint="default" w:eastAsiaTheme="minorEastAsia"/>
        <w:color w:val="auto"/>
      </w:rPr>
    </w:lvl>
    <w:lvl w:ilvl="7">
      <w:start w:val="1"/>
      <w:numFmt w:val="decimal"/>
      <w:lvlText w:val="%1.%2.%3.%4.%5.%6.%7.%8"/>
      <w:lvlJc w:val="left"/>
      <w:pPr>
        <w:ind w:left="1440" w:hanging="1440"/>
      </w:pPr>
      <w:rPr>
        <w:rFonts w:hint="default" w:eastAsiaTheme="minorEastAsia"/>
        <w:color w:val="auto"/>
      </w:rPr>
    </w:lvl>
    <w:lvl w:ilvl="8">
      <w:start w:val="1"/>
      <w:numFmt w:val="decimal"/>
      <w:lvlText w:val="%1.%2.%3.%4.%5.%6.%7.%8.%9"/>
      <w:lvlJc w:val="left"/>
      <w:pPr>
        <w:ind w:left="1800" w:hanging="1800"/>
      </w:pPr>
      <w:rPr>
        <w:rFonts w:hint="default" w:eastAsiaTheme="minorEastAsia"/>
        <w:color w:val="auto"/>
      </w:rPr>
    </w:lvl>
  </w:abstractNum>
  <w:abstractNum w:abstractNumId="18" w15:restartNumberingAfterBreak="0">
    <w:nsid w:val="4560EFE0"/>
    <w:multiLevelType w:val="hybridMultilevel"/>
    <w:tmpl w:val="FFFFFFFF"/>
    <w:lvl w:ilvl="0" w:tplc="BBF4070E">
      <w:start w:val="1"/>
      <w:numFmt w:val="bullet"/>
      <w:lvlText w:val="·"/>
      <w:lvlJc w:val="left"/>
      <w:pPr>
        <w:ind w:left="720" w:hanging="360"/>
      </w:pPr>
      <w:rPr>
        <w:rFonts w:hint="default" w:ascii="Symbol" w:hAnsi="Symbol"/>
      </w:rPr>
    </w:lvl>
    <w:lvl w:ilvl="1" w:tplc="EE306DA8">
      <w:start w:val="1"/>
      <w:numFmt w:val="bullet"/>
      <w:lvlText w:val="o"/>
      <w:lvlJc w:val="left"/>
      <w:pPr>
        <w:ind w:left="1440" w:hanging="360"/>
      </w:pPr>
      <w:rPr>
        <w:rFonts w:hint="default" w:ascii="Courier New" w:hAnsi="Courier New"/>
      </w:rPr>
    </w:lvl>
    <w:lvl w:ilvl="2" w:tplc="3B42A670">
      <w:start w:val="1"/>
      <w:numFmt w:val="bullet"/>
      <w:lvlText w:val=""/>
      <w:lvlJc w:val="left"/>
      <w:pPr>
        <w:ind w:left="2160" w:hanging="360"/>
      </w:pPr>
      <w:rPr>
        <w:rFonts w:hint="default" w:ascii="Wingdings" w:hAnsi="Wingdings"/>
      </w:rPr>
    </w:lvl>
    <w:lvl w:ilvl="3" w:tplc="B8F885F8">
      <w:start w:val="1"/>
      <w:numFmt w:val="bullet"/>
      <w:lvlText w:val=""/>
      <w:lvlJc w:val="left"/>
      <w:pPr>
        <w:ind w:left="2880" w:hanging="360"/>
      </w:pPr>
      <w:rPr>
        <w:rFonts w:hint="default" w:ascii="Symbol" w:hAnsi="Symbol"/>
      </w:rPr>
    </w:lvl>
    <w:lvl w:ilvl="4" w:tplc="118EFA38">
      <w:start w:val="1"/>
      <w:numFmt w:val="bullet"/>
      <w:lvlText w:val="o"/>
      <w:lvlJc w:val="left"/>
      <w:pPr>
        <w:ind w:left="3600" w:hanging="360"/>
      </w:pPr>
      <w:rPr>
        <w:rFonts w:hint="default" w:ascii="Courier New" w:hAnsi="Courier New"/>
      </w:rPr>
    </w:lvl>
    <w:lvl w:ilvl="5" w:tplc="D7A68CFE">
      <w:start w:val="1"/>
      <w:numFmt w:val="bullet"/>
      <w:lvlText w:val=""/>
      <w:lvlJc w:val="left"/>
      <w:pPr>
        <w:ind w:left="4320" w:hanging="360"/>
      </w:pPr>
      <w:rPr>
        <w:rFonts w:hint="default" w:ascii="Wingdings" w:hAnsi="Wingdings"/>
      </w:rPr>
    </w:lvl>
    <w:lvl w:ilvl="6" w:tplc="7E0E5EA6">
      <w:start w:val="1"/>
      <w:numFmt w:val="bullet"/>
      <w:lvlText w:val=""/>
      <w:lvlJc w:val="left"/>
      <w:pPr>
        <w:ind w:left="5040" w:hanging="360"/>
      </w:pPr>
      <w:rPr>
        <w:rFonts w:hint="default" w:ascii="Symbol" w:hAnsi="Symbol"/>
      </w:rPr>
    </w:lvl>
    <w:lvl w:ilvl="7" w:tplc="9506AD4E">
      <w:start w:val="1"/>
      <w:numFmt w:val="bullet"/>
      <w:lvlText w:val="o"/>
      <w:lvlJc w:val="left"/>
      <w:pPr>
        <w:ind w:left="5760" w:hanging="360"/>
      </w:pPr>
      <w:rPr>
        <w:rFonts w:hint="default" w:ascii="Courier New" w:hAnsi="Courier New"/>
      </w:rPr>
    </w:lvl>
    <w:lvl w:ilvl="8" w:tplc="3C528F86">
      <w:start w:val="1"/>
      <w:numFmt w:val="bullet"/>
      <w:lvlText w:val=""/>
      <w:lvlJc w:val="left"/>
      <w:pPr>
        <w:ind w:left="6480" w:hanging="360"/>
      </w:pPr>
      <w:rPr>
        <w:rFonts w:hint="default" w:ascii="Wingdings" w:hAnsi="Wingdings"/>
      </w:rPr>
    </w:lvl>
  </w:abstractNum>
  <w:abstractNum w:abstractNumId="19" w15:restartNumberingAfterBreak="0">
    <w:nsid w:val="47781B1C"/>
    <w:multiLevelType w:val="hybridMultilevel"/>
    <w:tmpl w:val="7AB6F4F6"/>
    <w:lvl w:ilvl="0" w:tplc="018A48EC">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4A7C2D7B"/>
    <w:multiLevelType w:val="hybridMultilevel"/>
    <w:tmpl w:val="2404F766"/>
    <w:lvl w:ilvl="0" w:tplc="018A48EC">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52362106"/>
    <w:multiLevelType w:val="hybridMultilevel"/>
    <w:tmpl w:val="2424F2D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58E0573A"/>
    <w:multiLevelType w:val="multilevel"/>
    <w:tmpl w:val="25C8AF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3" w15:restartNumberingAfterBreak="0">
    <w:nsid w:val="5ABA59DF"/>
    <w:multiLevelType w:val="hybridMultilevel"/>
    <w:tmpl w:val="22D21AA4"/>
    <w:lvl w:ilvl="0" w:tplc="018A48EC">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5B081378"/>
    <w:multiLevelType w:val="multilevel"/>
    <w:tmpl w:val="0D9C547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5" w15:restartNumberingAfterBreak="0">
    <w:nsid w:val="5F2857F5"/>
    <w:multiLevelType w:val="hybridMultilevel"/>
    <w:tmpl w:val="33CEDC7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67F036E8"/>
    <w:multiLevelType w:val="hybridMultilevel"/>
    <w:tmpl w:val="61820F5A"/>
    <w:lvl w:ilvl="0" w:tplc="018A48EC">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15:restartNumberingAfterBreak="0">
    <w:nsid w:val="6C107E8D"/>
    <w:multiLevelType w:val="hybridMultilevel"/>
    <w:tmpl w:val="003EB86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6C2A51EB"/>
    <w:multiLevelType w:val="multilevel"/>
    <w:tmpl w:val="B8566580"/>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6D5B7E06"/>
    <w:multiLevelType w:val="hybridMultilevel"/>
    <w:tmpl w:val="09BE3EE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0" w15:restartNumberingAfterBreak="0">
    <w:nsid w:val="72962ED3"/>
    <w:multiLevelType w:val="multilevel"/>
    <w:tmpl w:val="3A44955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1" w15:restartNumberingAfterBreak="0">
    <w:nsid w:val="75883230"/>
    <w:multiLevelType w:val="multilevel"/>
    <w:tmpl w:val="543277F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2132899638">
    <w:abstractNumId w:val="12"/>
  </w:num>
  <w:num w:numId="2" w16cid:durableId="916131660">
    <w:abstractNumId w:val="4"/>
  </w:num>
  <w:num w:numId="3" w16cid:durableId="596136516">
    <w:abstractNumId w:val="9"/>
  </w:num>
  <w:num w:numId="4" w16cid:durableId="1258640383">
    <w:abstractNumId w:val="8"/>
  </w:num>
  <w:num w:numId="5" w16cid:durableId="1920796604">
    <w:abstractNumId w:val="16"/>
  </w:num>
  <w:num w:numId="6" w16cid:durableId="32075989">
    <w:abstractNumId w:val="29"/>
  </w:num>
  <w:num w:numId="7" w16cid:durableId="1674844444">
    <w:abstractNumId w:val="31"/>
  </w:num>
  <w:num w:numId="8" w16cid:durableId="1945796246">
    <w:abstractNumId w:val="13"/>
  </w:num>
  <w:num w:numId="9" w16cid:durableId="870416266">
    <w:abstractNumId w:val="22"/>
  </w:num>
  <w:num w:numId="10" w16cid:durableId="743917025">
    <w:abstractNumId w:val="30"/>
  </w:num>
  <w:num w:numId="11" w16cid:durableId="1072510700">
    <w:abstractNumId w:val="24"/>
  </w:num>
  <w:num w:numId="12" w16cid:durableId="609626988">
    <w:abstractNumId w:val="3"/>
  </w:num>
  <w:num w:numId="13" w16cid:durableId="795611488">
    <w:abstractNumId w:val="21"/>
  </w:num>
  <w:num w:numId="14" w16cid:durableId="672489804">
    <w:abstractNumId w:val="27"/>
  </w:num>
  <w:num w:numId="15" w16cid:durableId="1103921060">
    <w:abstractNumId w:val="5"/>
  </w:num>
  <w:num w:numId="16" w16cid:durableId="1751416578">
    <w:abstractNumId w:val="19"/>
  </w:num>
  <w:num w:numId="17" w16cid:durableId="1538423738">
    <w:abstractNumId w:val="26"/>
  </w:num>
  <w:num w:numId="18" w16cid:durableId="1645887776">
    <w:abstractNumId w:val="7"/>
  </w:num>
  <w:num w:numId="19" w16cid:durableId="374159113">
    <w:abstractNumId w:val="6"/>
  </w:num>
  <w:num w:numId="20" w16cid:durableId="1204832895">
    <w:abstractNumId w:val="17"/>
  </w:num>
  <w:num w:numId="21" w16cid:durableId="1550608292">
    <w:abstractNumId w:val="20"/>
  </w:num>
  <w:num w:numId="22" w16cid:durableId="657222840">
    <w:abstractNumId w:val="1"/>
  </w:num>
  <w:num w:numId="23" w16cid:durableId="2040616506">
    <w:abstractNumId w:val="14"/>
  </w:num>
  <w:num w:numId="24" w16cid:durableId="774834975">
    <w:abstractNumId w:val="23"/>
  </w:num>
  <w:num w:numId="25" w16cid:durableId="286738640">
    <w:abstractNumId w:val="0"/>
  </w:num>
  <w:num w:numId="26" w16cid:durableId="1474903645">
    <w:abstractNumId w:val="18"/>
  </w:num>
  <w:num w:numId="27" w16cid:durableId="1303198647">
    <w:abstractNumId w:val="2"/>
  </w:num>
  <w:num w:numId="28" w16cid:durableId="1467434300">
    <w:abstractNumId w:val="11"/>
  </w:num>
  <w:num w:numId="29" w16cid:durableId="2115130555">
    <w:abstractNumId w:val="25"/>
  </w:num>
  <w:num w:numId="30" w16cid:durableId="1724596369">
    <w:abstractNumId w:val="15"/>
  </w:num>
  <w:num w:numId="31" w16cid:durableId="562331416">
    <w:abstractNumId w:val="10"/>
  </w:num>
  <w:num w:numId="32" w16cid:durableId="760568468">
    <w:abstractNumId w:val="28"/>
  </w:num>
  <w:num w:numId="33" w16cid:durableId="640965021">
    <w:abstractNumId w:val="12"/>
  </w:num>
  <w:numIdMacAtCleanup w:val="24"/>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30"/>
  <w:removePersonalInformation/>
  <w:removeDateAndTime/>
  <w:displayBackgroundShape/>
  <w:trackRevisions w:val="false"/>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244325A"/>
    <w:rsid w:val="0000041C"/>
    <w:rsid w:val="000005A9"/>
    <w:rsid w:val="000013B7"/>
    <w:rsid w:val="00001B36"/>
    <w:rsid w:val="00001B9A"/>
    <w:rsid w:val="00001D60"/>
    <w:rsid w:val="000024FF"/>
    <w:rsid w:val="0000259E"/>
    <w:rsid w:val="00002913"/>
    <w:rsid w:val="00002F33"/>
    <w:rsid w:val="00004097"/>
    <w:rsid w:val="00004197"/>
    <w:rsid w:val="00004BDC"/>
    <w:rsid w:val="00004D1B"/>
    <w:rsid w:val="00005897"/>
    <w:rsid w:val="00006B2B"/>
    <w:rsid w:val="00006DD1"/>
    <w:rsid w:val="000107FE"/>
    <w:rsid w:val="00010AF0"/>
    <w:rsid w:val="000111DE"/>
    <w:rsid w:val="00011714"/>
    <w:rsid w:val="00012160"/>
    <w:rsid w:val="00012369"/>
    <w:rsid w:val="00012CC4"/>
    <w:rsid w:val="00013D71"/>
    <w:rsid w:val="00015EF9"/>
    <w:rsid w:val="00016C20"/>
    <w:rsid w:val="00016E92"/>
    <w:rsid w:val="00020AD0"/>
    <w:rsid w:val="00020C56"/>
    <w:rsid w:val="00021068"/>
    <w:rsid w:val="000212DC"/>
    <w:rsid w:val="00024B15"/>
    <w:rsid w:val="00024DBE"/>
    <w:rsid w:val="00025090"/>
    <w:rsid w:val="000258C1"/>
    <w:rsid w:val="0002644B"/>
    <w:rsid w:val="000267C4"/>
    <w:rsid w:val="0003272F"/>
    <w:rsid w:val="00033E2F"/>
    <w:rsid w:val="000345AE"/>
    <w:rsid w:val="000345F6"/>
    <w:rsid w:val="00034D4E"/>
    <w:rsid w:val="00036583"/>
    <w:rsid w:val="000376FA"/>
    <w:rsid w:val="00037811"/>
    <w:rsid w:val="00037EB7"/>
    <w:rsid w:val="0004094E"/>
    <w:rsid w:val="00040E1B"/>
    <w:rsid w:val="000415DF"/>
    <w:rsid w:val="000418CA"/>
    <w:rsid w:val="00042450"/>
    <w:rsid w:val="00043EBB"/>
    <w:rsid w:val="00044465"/>
    <w:rsid w:val="00044871"/>
    <w:rsid w:val="00045428"/>
    <w:rsid w:val="000458EA"/>
    <w:rsid w:val="00047155"/>
    <w:rsid w:val="0004720B"/>
    <w:rsid w:val="00047312"/>
    <w:rsid w:val="00047B3D"/>
    <w:rsid w:val="00047CC7"/>
    <w:rsid w:val="000527E8"/>
    <w:rsid w:val="00053A29"/>
    <w:rsid w:val="000545F4"/>
    <w:rsid w:val="00054692"/>
    <w:rsid w:val="00055A6C"/>
    <w:rsid w:val="00056606"/>
    <w:rsid w:val="0005748C"/>
    <w:rsid w:val="000575A7"/>
    <w:rsid w:val="0005769B"/>
    <w:rsid w:val="0006326A"/>
    <w:rsid w:val="00064870"/>
    <w:rsid w:val="00065840"/>
    <w:rsid w:val="000707A6"/>
    <w:rsid w:val="0007147C"/>
    <w:rsid w:val="0007184B"/>
    <w:rsid w:val="000729FF"/>
    <w:rsid w:val="00072EAE"/>
    <w:rsid w:val="0007501F"/>
    <w:rsid w:val="0007546E"/>
    <w:rsid w:val="000764CA"/>
    <w:rsid w:val="00076D8F"/>
    <w:rsid w:val="00076E65"/>
    <w:rsid w:val="000772A9"/>
    <w:rsid w:val="00077D8B"/>
    <w:rsid w:val="00077F82"/>
    <w:rsid w:val="00081207"/>
    <w:rsid w:val="00081D1B"/>
    <w:rsid w:val="00081E0F"/>
    <w:rsid w:val="000826AB"/>
    <w:rsid w:val="000829F0"/>
    <w:rsid w:val="000831ED"/>
    <w:rsid w:val="000835C0"/>
    <w:rsid w:val="00084920"/>
    <w:rsid w:val="00085040"/>
    <w:rsid w:val="00085CA8"/>
    <w:rsid w:val="00085F32"/>
    <w:rsid w:val="000860F4"/>
    <w:rsid w:val="000864BA"/>
    <w:rsid w:val="00091061"/>
    <w:rsid w:val="000915C7"/>
    <w:rsid w:val="0009334A"/>
    <w:rsid w:val="00093488"/>
    <w:rsid w:val="000947E4"/>
    <w:rsid w:val="00095B8B"/>
    <w:rsid w:val="00096C14"/>
    <w:rsid w:val="0009749D"/>
    <w:rsid w:val="00097A92"/>
    <w:rsid w:val="00097F20"/>
    <w:rsid w:val="000A0E23"/>
    <w:rsid w:val="000A4A42"/>
    <w:rsid w:val="000A7F4F"/>
    <w:rsid w:val="000A7F82"/>
    <w:rsid w:val="000B0342"/>
    <w:rsid w:val="000B05A2"/>
    <w:rsid w:val="000B1336"/>
    <w:rsid w:val="000B1B5F"/>
    <w:rsid w:val="000B2239"/>
    <w:rsid w:val="000B28A8"/>
    <w:rsid w:val="000B34E4"/>
    <w:rsid w:val="000B3637"/>
    <w:rsid w:val="000B36D7"/>
    <w:rsid w:val="000B3A91"/>
    <w:rsid w:val="000B43EC"/>
    <w:rsid w:val="000B64A2"/>
    <w:rsid w:val="000B687B"/>
    <w:rsid w:val="000B6951"/>
    <w:rsid w:val="000B69E7"/>
    <w:rsid w:val="000B6A27"/>
    <w:rsid w:val="000B785E"/>
    <w:rsid w:val="000B7F58"/>
    <w:rsid w:val="000C0FC7"/>
    <w:rsid w:val="000C378B"/>
    <w:rsid w:val="000C4D40"/>
    <w:rsid w:val="000C50FF"/>
    <w:rsid w:val="000C6605"/>
    <w:rsid w:val="000C73D6"/>
    <w:rsid w:val="000C75D0"/>
    <w:rsid w:val="000D06D9"/>
    <w:rsid w:val="000D0C04"/>
    <w:rsid w:val="000D1CF9"/>
    <w:rsid w:val="000D5468"/>
    <w:rsid w:val="000D55B8"/>
    <w:rsid w:val="000D572A"/>
    <w:rsid w:val="000D5814"/>
    <w:rsid w:val="000D6DFF"/>
    <w:rsid w:val="000D7A53"/>
    <w:rsid w:val="000D7A72"/>
    <w:rsid w:val="000E0F5A"/>
    <w:rsid w:val="000E1185"/>
    <w:rsid w:val="000E24C9"/>
    <w:rsid w:val="000E2D18"/>
    <w:rsid w:val="000E2EEF"/>
    <w:rsid w:val="000E4635"/>
    <w:rsid w:val="000E4CF2"/>
    <w:rsid w:val="000E4F00"/>
    <w:rsid w:val="000E5A89"/>
    <w:rsid w:val="000E741A"/>
    <w:rsid w:val="000E7CAA"/>
    <w:rsid w:val="000F0BF4"/>
    <w:rsid w:val="000F0C5F"/>
    <w:rsid w:val="000F18BE"/>
    <w:rsid w:val="000F1936"/>
    <w:rsid w:val="000F290B"/>
    <w:rsid w:val="000F3478"/>
    <w:rsid w:val="000F3DF1"/>
    <w:rsid w:val="000F54F8"/>
    <w:rsid w:val="000F5E0C"/>
    <w:rsid w:val="000F6D6B"/>
    <w:rsid w:val="000F6E3F"/>
    <w:rsid w:val="000F7CAA"/>
    <w:rsid w:val="000F7F04"/>
    <w:rsid w:val="00100C49"/>
    <w:rsid w:val="00101BFD"/>
    <w:rsid w:val="00101D9E"/>
    <w:rsid w:val="00102359"/>
    <w:rsid w:val="00102919"/>
    <w:rsid w:val="00102E70"/>
    <w:rsid w:val="001030AB"/>
    <w:rsid w:val="00103539"/>
    <w:rsid w:val="00106352"/>
    <w:rsid w:val="001106D9"/>
    <w:rsid w:val="00114066"/>
    <w:rsid w:val="00114E6D"/>
    <w:rsid w:val="0011759C"/>
    <w:rsid w:val="001177F7"/>
    <w:rsid w:val="00117CF1"/>
    <w:rsid w:val="00120C36"/>
    <w:rsid w:val="00120EE6"/>
    <w:rsid w:val="00121012"/>
    <w:rsid w:val="00122B5B"/>
    <w:rsid w:val="001231CA"/>
    <w:rsid w:val="001232BA"/>
    <w:rsid w:val="001233F5"/>
    <w:rsid w:val="00125021"/>
    <w:rsid w:val="001259C9"/>
    <w:rsid w:val="00126905"/>
    <w:rsid w:val="001269EC"/>
    <w:rsid w:val="00126F51"/>
    <w:rsid w:val="001274A3"/>
    <w:rsid w:val="00131932"/>
    <w:rsid w:val="00132C63"/>
    <w:rsid w:val="00133F95"/>
    <w:rsid w:val="0013478A"/>
    <w:rsid w:val="00136B7B"/>
    <w:rsid w:val="001371CD"/>
    <w:rsid w:val="00137B90"/>
    <w:rsid w:val="0014045B"/>
    <w:rsid w:val="001406D2"/>
    <w:rsid w:val="0014075C"/>
    <w:rsid w:val="00143398"/>
    <w:rsid w:val="001452BE"/>
    <w:rsid w:val="0014597C"/>
    <w:rsid w:val="00145B68"/>
    <w:rsid w:val="00146FEC"/>
    <w:rsid w:val="00147794"/>
    <w:rsid w:val="001510A8"/>
    <w:rsid w:val="0015242D"/>
    <w:rsid w:val="00153C4A"/>
    <w:rsid w:val="00153CDA"/>
    <w:rsid w:val="00153F27"/>
    <w:rsid w:val="00154E20"/>
    <w:rsid w:val="00154F39"/>
    <w:rsid w:val="00160307"/>
    <w:rsid w:val="00160CCD"/>
    <w:rsid w:val="00160DCF"/>
    <w:rsid w:val="00160E26"/>
    <w:rsid w:val="0016346C"/>
    <w:rsid w:val="0016537D"/>
    <w:rsid w:val="0016595F"/>
    <w:rsid w:val="001676F9"/>
    <w:rsid w:val="00167BF9"/>
    <w:rsid w:val="00170441"/>
    <w:rsid w:val="00172F12"/>
    <w:rsid w:val="001740EB"/>
    <w:rsid w:val="00175F1C"/>
    <w:rsid w:val="001764EA"/>
    <w:rsid w:val="00180EDB"/>
    <w:rsid w:val="0018104F"/>
    <w:rsid w:val="00182600"/>
    <w:rsid w:val="00182D52"/>
    <w:rsid w:val="00182D7B"/>
    <w:rsid w:val="00182EED"/>
    <w:rsid w:val="00185966"/>
    <w:rsid w:val="00185A0F"/>
    <w:rsid w:val="00185C76"/>
    <w:rsid w:val="00187416"/>
    <w:rsid w:val="00187BD9"/>
    <w:rsid w:val="0019035C"/>
    <w:rsid w:val="001910D2"/>
    <w:rsid w:val="0019114E"/>
    <w:rsid w:val="00194D7D"/>
    <w:rsid w:val="00196261"/>
    <w:rsid w:val="00196431"/>
    <w:rsid w:val="00196DEB"/>
    <w:rsid w:val="00197840"/>
    <w:rsid w:val="00197F02"/>
    <w:rsid w:val="001A03AD"/>
    <w:rsid w:val="001A0FE3"/>
    <w:rsid w:val="001A10BC"/>
    <w:rsid w:val="001A26A4"/>
    <w:rsid w:val="001A32B7"/>
    <w:rsid w:val="001A35D6"/>
    <w:rsid w:val="001A39B8"/>
    <w:rsid w:val="001A5AD2"/>
    <w:rsid w:val="001A735E"/>
    <w:rsid w:val="001A7564"/>
    <w:rsid w:val="001A7577"/>
    <w:rsid w:val="001A7CBF"/>
    <w:rsid w:val="001A7FBF"/>
    <w:rsid w:val="001B14BC"/>
    <w:rsid w:val="001B187D"/>
    <w:rsid w:val="001B396E"/>
    <w:rsid w:val="001B446E"/>
    <w:rsid w:val="001B5066"/>
    <w:rsid w:val="001B7104"/>
    <w:rsid w:val="001B7799"/>
    <w:rsid w:val="001B79D3"/>
    <w:rsid w:val="001C1116"/>
    <w:rsid w:val="001C1A40"/>
    <w:rsid w:val="001C1C90"/>
    <w:rsid w:val="001C2EA5"/>
    <w:rsid w:val="001C2F47"/>
    <w:rsid w:val="001C2FA3"/>
    <w:rsid w:val="001C3530"/>
    <w:rsid w:val="001C5440"/>
    <w:rsid w:val="001C6916"/>
    <w:rsid w:val="001C6C2B"/>
    <w:rsid w:val="001C733C"/>
    <w:rsid w:val="001C7685"/>
    <w:rsid w:val="001D114B"/>
    <w:rsid w:val="001D1C83"/>
    <w:rsid w:val="001D392C"/>
    <w:rsid w:val="001D410D"/>
    <w:rsid w:val="001D4367"/>
    <w:rsid w:val="001D46C7"/>
    <w:rsid w:val="001D60CE"/>
    <w:rsid w:val="001D66E8"/>
    <w:rsid w:val="001D7A14"/>
    <w:rsid w:val="001E0301"/>
    <w:rsid w:val="001E17C5"/>
    <w:rsid w:val="001E1949"/>
    <w:rsid w:val="001E2081"/>
    <w:rsid w:val="001E224E"/>
    <w:rsid w:val="001E2EFE"/>
    <w:rsid w:val="001E3046"/>
    <w:rsid w:val="001E314C"/>
    <w:rsid w:val="001E3F36"/>
    <w:rsid w:val="001E45F9"/>
    <w:rsid w:val="001E5BB3"/>
    <w:rsid w:val="001E5E32"/>
    <w:rsid w:val="001E6D36"/>
    <w:rsid w:val="001E7D93"/>
    <w:rsid w:val="001F0A43"/>
    <w:rsid w:val="001F1CEB"/>
    <w:rsid w:val="001F1FFB"/>
    <w:rsid w:val="001F3085"/>
    <w:rsid w:val="001F3328"/>
    <w:rsid w:val="001F4118"/>
    <w:rsid w:val="001F46D1"/>
    <w:rsid w:val="001F4B9D"/>
    <w:rsid w:val="001F5578"/>
    <w:rsid w:val="001F5C0B"/>
    <w:rsid w:val="001F5C59"/>
    <w:rsid w:val="001F687A"/>
    <w:rsid w:val="001F727D"/>
    <w:rsid w:val="001F757E"/>
    <w:rsid w:val="002000EE"/>
    <w:rsid w:val="00200501"/>
    <w:rsid w:val="002007B5"/>
    <w:rsid w:val="00201A42"/>
    <w:rsid w:val="002029C2"/>
    <w:rsid w:val="002042A4"/>
    <w:rsid w:val="0020438C"/>
    <w:rsid w:val="00204AA3"/>
    <w:rsid w:val="00204B94"/>
    <w:rsid w:val="0020503C"/>
    <w:rsid w:val="002071D6"/>
    <w:rsid w:val="00207DFB"/>
    <w:rsid w:val="0021266E"/>
    <w:rsid w:val="00212826"/>
    <w:rsid w:val="00212AED"/>
    <w:rsid w:val="00213828"/>
    <w:rsid w:val="00213E6C"/>
    <w:rsid w:val="00214446"/>
    <w:rsid w:val="002155B7"/>
    <w:rsid w:val="00215EFC"/>
    <w:rsid w:val="00216303"/>
    <w:rsid w:val="00217ACF"/>
    <w:rsid w:val="00220003"/>
    <w:rsid w:val="00220239"/>
    <w:rsid w:val="0022023D"/>
    <w:rsid w:val="00220DC1"/>
    <w:rsid w:val="00221712"/>
    <w:rsid w:val="002219FC"/>
    <w:rsid w:val="00223854"/>
    <w:rsid w:val="002257A6"/>
    <w:rsid w:val="00226448"/>
    <w:rsid w:val="0022724D"/>
    <w:rsid w:val="00227B57"/>
    <w:rsid w:val="002310BE"/>
    <w:rsid w:val="00231F98"/>
    <w:rsid w:val="0023330F"/>
    <w:rsid w:val="00233E39"/>
    <w:rsid w:val="0023404D"/>
    <w:rsid w:val="00234357"/>
    <w:rsid w:val="0023564A"/>
    <w:rsid w:val="002358A2"/>
    <w:rsid w:val="00235AD2"/>
    <w:rsid w:val="0023712D"/>
    <w:rsid w:val="00241874"/>
    <w:rsid w:val="00242291"/>
    <w:rsid w:val="00243673"/>
    <w:rsid w:val="0024440E"/>
    <w:rsid w:val="0024466A"/>
    <w:rsid w:val="00244A34"/>
    <w:rsid w:val="00244D5C"/>
    <w:rsid w:val="00245CA1"/>
    <w:rsid w:val="00245EB5"/>
    <w:rsid w:val="0025032F"/>
    <w:rsid w:val="00250572"/>
    <w:rsid w:val="00250B40"/>
    <w:rsid w:val="00251B27"/>
    <w:rsid w:val="00253010"/>
    <w:rsid w:val="0025317B"/>
    <w:rsid w:val="002533DD"/>
    <w:rsid w:val="002538B4"/>
    <w:rsid w:val="00253B54"/>
    <w:rsid w:val="00253D16"/>
    <w:rsid w:val="00254907"/>
    <w:rsid w:val="00254F35"/>
    <w:rsid w:val="002550C6"/>
    <w:rsid w:val="00256526"/>
    <w:rsid w:val="00256BA8"/>
    <w:rsid w:val="002578E7"/>
    <w:rsid w:val="00257C22"/>
    <w:rsid w:val="002610CD"/>
    <w:rsid w:val="00261E90"/>
    <w:rsid w:val="0026290F"/>
    <w:rsid w:val="002630BA"/>
    <w:rsid w:val="002635BB"/>
    <w:rsid w:val="00263C59"/>
    <w:rsid w:val="0026547E"/>
    <w:rsid w:val="002657D8"/>
    <w:rsid w:val="0026595D"/>
    <w:rsid w:val="002667EE"/>
    <w:rsid w:val="002670DD"/>
    <w:rsid w:val="0026724D"/>
    <w:rsid w:val="002679BC"/>
    <w:rsid w:val="0027027E"/>
    <w:rsid w:val="00270A3C"/>
    <w:rsid w:val="00270A4A"/>
    <w:rsid w:val="00270B9B"/>
    <w:rsid w:val="00270E97"/>
    <w:rsid w:val="00271963"/>
    <w:rsid w:val="00272162"/>
    <w:rsid w:val="00272916"/>
    <w:rsid w:val="00272C95"/>
    <w:rsid w:val="0027322D"/>
    <w:rsid w:val="00273908"/>
    <w:rsid w:val="0027521C"/>
    <w:rsid w:val="00275476"/>
    <w:rsid w:val="00275935"/>
    <w:rsid w:val="00275B81"/>
    <w:rsid w:val="002760D0"/>
    <w:rsid w:val="002761D3"/>
    <w:rsid w:val="00280DCC"/>
    <w:rsid w:val="002812E4"/>
    <w:rsid w:val="0028296A"/>
    <w:rsid w:val="00283826"/>
    <w:rsid w:val="00283AA8"/>
    <w:rsid w:val="00283D9B"/>
    <w:rsid w:val="00283F4A"/>
    <w:rsid w:val="00284B46"/>
    <w:rsid w:val="0028568E"/>
    <w:rsid w:val="002860E4"/>
    <w:rsid w:val="002863B1"/>
    <w:rsid w:val="002877EF"/>
    <w:rsid w:val="0029046B"/>
    <w:rsid w:val="00291597"/>
    <w:rsid w:val="002924F6"/>
    <w:rsid w:val="00292A4B"/>
    <w:rsid w:val="002935F7"/>
    <w:rsid w:val="0029587B"/>
    <w:rsid w:val="00297C6A"/>
    <w:rsid w:val="00297E2D"/>
    <w:rsid w:val="002A098C"/>
    <w:rsid w:val="002A1C05"/>
    <w:rsid w:val="002A1E57"/>
    <w:rsid w:val="002A1FB9"/>
    <w:rsid w:val="002A3084"/>
    <w:rsid w:val="002A3613"/>
    <w:rsid w:val="002A42AE"/>
    <w:rsid w:val="002A593E"/>
    <w:rsid w:val="002A61D2"/>
    <w:rsid w:val="002A64E1"/>
    <w:rsid w:val="002A65EB"/>
    <w:rsid w:val="002A7254"/>
    <w:rsid w:val="002A7A57"/>
    <w:rsid w:val="002A7BC4"/>
    <w:rsid w:val="002B347F"/>
    <w:rsid w:val="002B382B"/>
    <w:rsid w:val="002B3D9B"/>
    <w:rsid w:val="002B3E62"/>
    <w:rsid w:val="002B4C0B"/>
    <w:rsid w:val="002B550F"/>
    <w:rsid w:val="002B565D"/>
    <w:rsid w:val="002B7F4E"/>
    <w:rsid w:val="002C01B9"/>
    <w:rsid w:val="002C1730"/>
    <w:rsid w:val="002C2938"/>
    <w:rsid w:val="002C329C"/>
    <w:rsid w:val="002C47D3"/>
    <w:rsid w:val="002C64AF"/>
    <w:rsid w:val="002C6772"/>
    <w:rsid w:val="002C6FE4"/>
    <w:rsid w:val="002D0902"/>
    <w:rsid w:val="002D16DB"/>
    <w:rsid w:val="002D1B87"/>
    <w:rsid w:val="002D1CAF"/>
    <w:rsid w:val="002D2CC4"/>
    <w:rsid w:val="002D4F50"/>
    <w:rsid w:val="002D50DC"/>
    <w:rsid w:val="002D676D"/>
    <w:rsid w:val="002D6A11"/>
    <w:rsid w:val="002E04AC"/>
    <w:rsid w:val="002E279C"/>
    <w:rsid w:val="002E2917"/>
    <w:rsid w:val="002E4128"/>
    <w:rsid w:val="002E4882"/>
    <w:rsid w:val="002E5234"/>
    <w:rsid w:val="002F0393"/>
    <w:rsid w:val="002F03C3"/>
    <w:rsid w:val="002F11AE"/>
    <w:rsid w:val="002F27A4"/>
    <w:rsid w:val="002F29AE"/>
    <w:rsid w:val="002F3587"/>
    <w:rsid w:val="002F4A00"/>
    <w:rsid w:val="002F6909"/>
    <w:rsid w:val="002F7716"/>
    <w:rsid w:val="0030072B"/>
    <w:rsid w:val="00300C7A"/>
    <w:rsid w:val="00301016"/>
    <w:rsid w:val="00301136"/>
    <w:rsid w:val="0030162E"/>
    <w:rsid w:val="00302345"/>
    <w:rsid w:val="003023CE"/>
    <w:rsid w:val="003028E7"/>
    <w:rsid w:val="0030349C"/>
    <w:rsid w:val="00303836"/>
    <w:rsid w:val="003052AC"/>
    <w:rsid w:val="00305C54"/>
    <w:rsid w:val="00306154"/>
    <w:rsid w:val="003063CE"/>
    <w:rsid w:val="00307BB0"/>
    <w:rsid w:val="0031079F"/>
    <w:rsid w:val="003107CD"/>
    <w:rsid w:val="003111F0"/>
    <w:rsid w:val="00311281"/>
    <w:rsid w:val="0031205E"/>
    <w:rsid w:val="00312729"/>
    <w:rsid w:val="00312F17"/>
    <w:rsid w:val="00313592"/>
    <w:rsid w:val="00313C56"/>
    <w:rsid w:val="0031656A"/>
    <w:rsid w:val="0031663D"/>
    <w:rsid w:val="00317954"/>
    <w:rsid w:val="00319FA1"/>
    <w:rsid w:val="00320160"/>
    <w:rsid w:val="003204CB"/>
    <w:rsid w:val="00321E47"/>
    <w:rsid w:val="00322517"/>
    <w:rsid w:val="003237A9"/>
    <w:rsid w:val="00325EEF"/>
    <w:rsid w:val="00326152"/>
    <w:rsid w:val="003265C9"/>
    <w:rsid w:val="00326BC3"/>
    <w:rsid w:val="003275FE"/>
    <w:rsid w:val="00327764"/>
    <w:rsid w:val="00327C25"/>
    <w:rsid w:val="003307CA"/>
    <w:rsid w:val="003308C5"/>
    <w:rsid w:val="00331204"/>
    <w:rsid w:val="00331F17"/>
    <w:rsid w:val="00332E83"/>
    <w:rsid w:val="00333413"/>
    <w:rsid w:val="00333584"/>
    <w:rsid w:val="00333FA1"/>
    <w:rsid w:val="0033468C"/>
    <w:rsid w:val="0033546B"/>
    <w:rsid w:val="00335AE8"/>
    <w:rsid w:val="0033677C"/>
    <w:rsid w:val="00336BCC"/>
    <w:rsid w:val="00337997"/>
    <w:rsid w:val="00340FD1"/>
    <w:rsid w:val="0034243F"/>
    <w:rsid w:val="00344728"/>
    <w:rsid w:val="003466BA"/>
    <w:rsid w:val="0034734B"/>
    <w:rsid w:val="00351786"/>
    <w:rsid w:val="00351CF2"/>
    <w:rsid w:val="00351F9B"/>
    <w:rsid w:val="003524B7"/>
    <w:rsid w:val="00352C84"/>
    <w:rsid w:val="00354F69"/>
    <w:rsid w:val="00355703"/>
    <w:rsid w:val="00356CFB"/>
    <w:rsid w:val="003576CB"/>
    <w:rsid w:val="003579C9"/>
    <w:rsid w:val="00357E2D"/>
    <w:rsid w:val="00360FDD"/>
    <w:rsid w:val="00361417"/>
    <w:rsid w:val="00361761"/>
    <w:rsid w:val="00361CD0"/>
    <w:rsid w:val="003626A5"/>
    <w:rsid w:val="003635E9"/>
    <w:rsid w:val="00364AAB"/>
    <w:rsid w:val="00365474"/>
    <w:rsid w:val="003658A8"/>
    <w:rsid w:val="00365F7B"/>
    <w:rsid w:val="00366518"/>
    <w:rsid w:val="00366BBB"/>
    <w:rsid w:val="0036705F"/>
    <w:rsid w:val="00367900"/>
    <w:rsid w:val="00367B83"/>
    <w:rsid w:val="00367D55"/>
    <w:rsid w:val="0037003C"/>
    <w:rsid w:val="003710DF"/>
    <w:rsid w:val="00372204"/>
    <w:rsid w:val="00373361"/>
    <w:rsid w:val="00373722"/>
    <w:rsid w:val="00373775"/>
    <w:rsid w:val="0037488D"/>
    <w:rsid w:val="00374C48"/>
    <w:rsid w:val="0037560C"/>
    <w:rsid w:val="00376B90"/>
    <w:rsid w:val="00376F8B"/>
    <w:rsid w:val="003774A7"/>
    <w:rsid w:val="003775F7"/>
    <w:rsid w:val="00377ACB"/>
    <w:rsid w:val="0038036A"/>
    <w:rsid w:val="00380827"/>
    <w:rsid w:val="00380ACF"/>
    <w:rsid w:val="00381B4C"/>
    <w:rsid w:val="00382CC4"/>
    <w:rsid w:val="00383EE9"/>
    <w:rsid w:val="003847E5"/>
    <w:rsid w:val="00384C2B"/>
    <w:rsid w:val="00384D8E"/>
    <w:rsid w:val="00385421"/>
    <w:rsid w:val="003855A3"/>
    <w:rsid w:val="00386E2B"/>
    <w:rsid w:val="003875E2"/>
    <w:rsid w:val="00387677"/>
    <w:rsid w:val="003904F9"/>
    <w:rsid w:val="00391996"/>
    <w:rsid w:val="0039290F"/>
    <w:rsid w:val="00393151"/>
    <w:rsid w:val="00393795"/>
    <w:rsid w:val="00393C4E"/>
    <w:rsid w:val="00393CCD"/>
    <w:rsid w:val="00393FDE"/>
    <w:rsid w:val="00395589"/>
    <w:rsid w:val="0039607D"/>
    <w:rsid w:val="00396CE0"/>
    <w:rsid w:val="00396D71"/>
    <w:rsid w:val="00397397"/>
    <w:rsid w:val="0039797E"/>
    <w:rsid w:val="003A1535"/>
    <w:rsid w:val="003A1720"/>
    <w:rsid w:val="003A3333"/>
    <w:rsid w:val="003A344D"/>
    <w:rsid w:val="003A383B"/>
    <w:rsid w:val="003A4434"/>
    <w:rsid w:val="003A6045"/>
    <w:rsid w:val="003A610E"/>
    <w:rsid w:val="003A61C9"/>
    <w:rsid w:val="003A7CFE"/>
    <w:rsid w:val="003B0B82"/>
    <w:rsid w:val="003B0D92"/>
    <w:rsid w:val="003B181C"/>
    <w:rsid w:val="003B1F77"/>
    <w:rsid w:val="003B2EAA"/>
    <w:rsid w:val="003B331E"/>
    <w:rsid w:val="003B5012"/>
    <w:rsid w:val="003B5600"/>
    <w:rsid w:val="003B7542"/>
    <w:rsid w:val="003B7CF9"/>
    <w:rsid w:val="003C038B"/>
    <w:rsid w:val="003C0589"/>
    <w:rsid w:val="003C0DDF"/>
    <w:rsid w:val="003C1E90"/>
    <w:rsid w:val="003C2926"/>
    <w:rsid w:val="003C2F9F"/>
    <w:rsid w:val="003C359C"/>
    <w:rsid w:val="003C4072"/>
    <w:rsid w:val="003C4B65"/>
    <w:rsid w:val="003C4D1F"/>
    <w:rsid w:val="003C5099"/>
    <w:rsid w:val="003C53AA"/>
    <w:rsid w:val="003C6B86"/>
    <w:rsid w:val="003C719C"/>
    <w:rsid w:val="003C7239"/>
    <w:rsid w:val="003D0821"/>
    <w:rsid w:val="003D2210"/>
    <w:rsid w:val="003D2679"/>
    <w:rsid w:val="003D2BFE"/>
    <w:rsid w:val="003D2F8C"/>
    <w:rsid w:val="003D4782"/>
    <w:rsid w:val="003D484D"/>
    <w:rsid w:val="003D4E30"/>
    <w:rsid w:val="003D5FE9"/>
    <w:rsid w:val="003D6E0E"/>
    <w:rsid w:val="003D7ED7"/>
    <w:rsid w:val="003E0BED"/>
    <w:rsid w:val="003E0DBF"/>
    <w:rsid w:val="003E14AE"/>
    <w:rsid w:val="003E1A46"/>
    <w:rsid w:val="003E27AF"/>
    <w:rsid w:val="003E2C6D"/>
    <w:rsid w:val="003E6866"/>
    <w:rsid w:val="003E6E21"/>
    <w:rsid w:val="003E71A3"/>
    <w:rsid w:val="003E7B8A"/>
    <w:rsid w:val="003E7BB1"/>
    <w:rsid w:val="003F05C5"/>
    <w:rsid w:val="003F0A05"/>
    <w:rsid w:val="003F0CDE"/>
    <w:rsid w:val="003F1021"/>
    <w:rsid w:val="003F2FBB"/>
    <w:rsid w:val="003F462D"/>
    <w:rsid w:val="003F5C43"/>
    <w:rsid w:val="003F5FAE"/>
    <w:rsid w:val="003F63CB"/>
    <w:rsid w:val="003F6C08"/>
    <w:rsid w:val="003F7613"/>
    <w:rsid w:val="003F7AA2"/>
    <w:rsid w:val="004008FE"/>
    <w:rsid w:val="00400C60"/>
    <w:rsid w:val="00401A60"/>
    <w:rsid w:val="00402678"/>
    <w:rsid w:val="00402679"/>
    <w:rsid w:val="004026E2"/>
    <w:rsid w:val="00402E39"/>
    <w:rsid w:val="00402F91"/>
    <w:rsid w:val="00403A89"/>
    <w:rsid w:val="00404031"/>
    <w:rsid w:val="00405529"/>
    <w:rsid w:val="00405593"/>
    <w:rsid w:val="0040626C"/>
    <w:rsid w:val="004067BB"/>
    <w:rsid w:val="00406D9E"/>
    <w:rsid w:val="00407077"/>
    <w:rsid w:val="00410145"/>
    <w:rsid w:val="00410A13"/>
    <w:rsid w:val="004124F8"/>
    <w:rsid w:val="004133CE"/>
    <w:rsid w:val="00413D72"/>
    <w:rsid w:val="00415421"/>
    <w:rsid w:val="00415567"/>
    <w:rsid w:val="0041581A"/>
    <w:rsid w:val="00415C2A"/>
    <w:rsid w:val="00416070"/>
    <w:rsid w:val="00420288"/>
    <w:rsid w:val="00421FC5"/>
    <w:rsid w:val="00424165"/>
    <w:rsid w:val="004243E4"/>
    <w:rsid w:val="0042464E"/>
    <w:rsid w:val="004259CA"/>
    <w:rsid w:val="00425BF2"/>
    <w:rsid w:val="00425C75"/>
    <w:rsid w:val="00425E61"/>
    <w:rsid w:val="00426184"/>
    <w:rsid w:val="00426695"/>
    <w:rsid w:val="0042768E"/>
    <w:rsid w:val="004308C5"/>
    <w:rsid w:val="00430EC2"/>
    <w:rsid w:val="004316C9"/>
    <w:rsid w:val="00431BD6"/>
    <w:rsid w:val="00432861"/>
    <w:rsid w:val="0043323E"/>
    <w:rsid w:val="00433F8D"/>
    <w:rsid w:val="004341B8"/>
    <w:rsid w:val="00434862"/>
    <w:rsid w:val="00434A18"/>
    <w:rsid w:val="0043571D"/>
    <w:rsid w:val="00435FE7"/>
    <w:rsid w:val="0043648F"/>
    <w:rsid w:val="00436641"/>
    <w:rsid w:val="00436938"/>
    <w:rsid w:val="004379DA"/>
    <w:rsid w:val="004404A3"/>
    <w:rsid w:val="00441605"/>
    <w:rsid w:val="004417AF"/>
    <w:rsid w:val="00441AB5"/>
    <w:rsid w:val="00442730"/>
    <w:rsid w:val="00443A75"/>
    <w:rsid w:val="00444C81"/>
    <w:rsid w:val="00444D63"/>
    <w:rsid w:val="004454D8"/>
    <w:rsid w:val="00445DD6"/>
    <w:rsid w:val="00445ED7"/>
    <w:rsid w:val="004462E1"/>
    <w:rsid w:val="00446577"/>
    <w:rsid w:val="00446F67"/>
    <w:rsid w:val="00447047"/>
    <w:rsid w:val="0044721A"/>
    <w:rsid w:val="00447B42"/>
    <w:rsid w:val="00450E4A"/>
    <w:rsid w:val="00451A91"/>
    <w:rsid w:val="0045216A"/>
    <w:rsid w:val="00452DCA"/>
    <w:rsid w:val="00453D48"/>
    <w:rsid w:val="00454F40"/>
    <w:rsid w:val="00455164"/>
    <w:rsid w:val="00455E9E"/>
    <w:rsid w:val="0045615B"/>
    <w:rsid w:val="00456BC1"/>
    <w:rsid w:val="00460FF0"/>
    <w:rsid w:val="00461E7E"/>
    <w:rsid w:val="0046236A"/>
    <w:rsid w:val="00463EFF"/>
    <w:rsid w:val="004666FE"/>
    <w:rsid w:val="00466D0F"/>
    <w:rsid w:val="00470F1D"/>
    <w:rsid w:val="00471E9F"/>
    <w:rsid w:val="00474AAC"/>
    <w:rsid w:val="00477799"/>
    <w:rsid w:val="00477BD5"/>
    <w:rsid w:val="00477C30"/>
    <w:rsid w:val="00477CA3"/>
    <w:rsid w:val="0048022F"/>
    <w:rsid w:val="00480697"/>
    <w:rsid w:val="00480F7D"/>
    <w:rsid w:val="0048111C"/>
    <w:rsid w:val="00481AF3"/>
    <w:rsid w:val="0048340D"/>
    <w:rsid w:val="00483933"/>
    <w:rsid w:val="00483A13"/>
    <w:rsid w:val="00483AB4"/>
    <w:rsid w:val="004841BA"/>
    <w:rsid w:val="004854F8"/>
    <w:rsid w:val="004873FF"/>
    <w:rsid w:val="00487FE4"/>
    <w:rsid w:val="0049008A"/>
    <w:rsid w:val="00490274"/>
    <w:rsid w:val="004925CF"/>
    <w:rsid w:val="00492D3D"/>
    <w:rsid w:val="004931AD"/>
    <w:rsid w:val="00493D68"/>
    <w:rsid w:val="0049449E"/>
    <w:rsid w:val="00494CB1"/>
    <w:rsid w:val="00495DC9"/>
    <w:rsid w:val="00497CDD"/>
    <w:rsid w:val="004A0362"/>
    <w:rsid w:val="004A0E0C"/>
    <w:rsid w:val="004A12C3"/>
    <w:rsid w:val="004A2090"/>
    <w:rsid w:val="004A2BB6"/>
    <w:rsid w:val="004A2D9C"/>
    <w:rsid w:val="004A50BD"/>
    <w:rsid w:val="004A62C7"/>
    <w:rsid w:val="004A7A95"/>
    <w:rsid w:val="004A7E50"/>
    <w:rsid w:val="004B1565"/>
    <w:rsid w:val="004B1A6C"/>
    <w:rsid w:val="004B1B0E"/>
    <w:rsid w:val="004B2019"/>
    <w:rsid w:val="004B28F3"/>
    <w:rsid w:val="004B34C5"/>
    <w:rsid w:val="004B5846"/>
    <w:rsid w:val="004B7B86"/>
    <w:rsid w:val="004C02A2"/>
    <w:rsid w:val="004C03B5"/>
    <w:rsid w:val="004C05DF"/>
    <w:rsid w:val="004C0B2A"/>
    <w:rsid w:val="004C13DB"/>
    <w:rsid w:val="004C17A9"/>
    <w:rsid w:val="004C1CF2"/>
    <w:rsid w:val="004C66B1"/>
    <w:rsid w:val="004C70E9"/>
    <w:rsid w:val="004C778D"/>
    <w:rsid w:val="004D3D67"/>
    <w:rsid w:val="004D3EB0"/>
    <w:rsid w:val="004D40E6"/>
    <w:rsid w:val="004D4E88"/>
    <w:rsid w:val="004D5172"/>
    <w:rsid w:val="004D6BC3"/>
    <w:rsid w:val="004D72E8"/>
    <w:rsid w:val="004E00BE"/>
    <w:rsid w:val="004E0864"/>
    <w:rsid w:val="004E125A"/>
    <w:rsid w:val="004E1F7C"/>
    <w:rsid w:val="004E2E6F"/>
    <w:rsid w:val="004E40F6"/>
    <w:rsid w:val="004E495B"/>
    <w:rsid w:val="004E4CA8"/>
    <w:rsid w:val="004E72E1"/>
    <w:rsid w:val="004F1D81"/>
    <w:rsid w:val="004F2B19"/>
    <w:rsid w:val="004F2C6E"/>
    <w:rsid w:val="004F2F70"/>
    <w:rsid w:val="004F2FEC"/>
    <w:rsid w:val="004F35AD"/>
    <w:rsid w:val="004F3961"/>
    <w:rsid w:val="004F3E02"/>
    <w:rsid w:val="004F3E67"/>
    <w:rsid w:val="004F4BEB"/>
    <w:rsid w:val="004F5DAC"/>
    <w:rsid w:val="004F787C"/>
    <w:rsid w:val="004F7F1A"/>
    <w:rsid w:val="00501850"/>
    <w:rsid w:val="005037C3"/>
    <w:rsid w:val="00504137"/>
    <w:rsid w:val="00504F3A"/>
    <w:rsid w:val="005051A4"/>
    <w:rsid w:val="0050593B"/>
    <w:rsid w:val="00507B4F"/>
    <w:rsid w:val="005104B0"/>
    <w:rsid w:val="00511DB4"/>
    <w:rsid w:val="00512365"/>
    <w:rsid w:val="005124E5"/>
    <w:rsid w:val="005135E2"/>
    <w:rsid w:val="005139D7"/>
    <w:rsid w:val="00513F12"/>
    <w:rsid w:val="005160D6"/>
    <w:rsid w:val="0051698F"/>
    <w:rsid w:val="00517831"/>
    <w:rsid w:val="00520727"/>
    <w:rsid w:val="005209B7"/>
    <w:rsid w:val="0052143A"/>
    <w:rsid w:val="00522236"/>
    <w:rsid w:val="00522785"/>
    <w:rsid w:val="0052344F"/>
    <w:rsid w:val="00524296"/>
    <w:rsid w:val="00524BD0"/>
    <w:rsid w:val="00525818"/>
    <w:rsid w:val="005262CF"/>
    <w:rsid w:val="0052651A"/>
    <w:rsid w:val="005265C3"/>
    <w:rsid w:val="00527153"/>
    <w:rsid w:val="0052748D"/>
    <w:rsid w:val="00527835"/>
    <w:rsid w:val="00530009"/>
    <w:rsid w:val="0053398B"/>
    <w:rsid w:val="00534331"/>
    <w:rsid w:val="005343C0"/>
    <w:rsid w:val="00534500"/>
    <w:rsid w:val="005367A2"/>
    <w:rsid w:val="0053709B"/>
    <w:rsid w:val="00540121"/>
    <w:rsid w:val="00540122"/>
    <w:rsid w:val="00540376"/>
    <w:rsid w:val="00541053"/>
    <w:rsid w:val="0054134F"/>
    <w:rsid w:val="00541B75"/>
    <w:rsid w:val="00542BC7"/>
    <w:rsid w:val="00546C08"/>
    <w:rsid w:val="00546FBE"/>
    <w:rsid w:val="00547C23"/>
    <w:rsid w:val="00551185"/>
    <w:rsid w:val="00551BC7"/>
    <w:rsid w:val="0055255E"/>
    <w:rsid w:val="005534EE"/>
    <w:rsid w:val="0055419A"/>
    <w:rsid w:val="00555848"/>
    <w:rsid w:val="00555A05"/>
    <w:rsid w:val="0055626D"/>
    <w:rsid w:val="00556D8A"/>
    <w:rsid w:val="00556ED9"/>
    <w:rsid w:val="00557176"/>
    <w:rsid w:val="00557ECF"/>
    <w:rsid w:val="00560191"/>
    <w:rsid w:val="00560A10"/>
    <w:rsid w:val="0056185B"/>
    <w:rsid w:val="00561CBA"/>
    <w:rsid w:val="005626E8"/>
    <w:rsid w:val="005631AD"/>
    <w:rsid w:val="005634B9"/>
    <w:rsid w:val="0056380B"/>
    <w:rsid w:val="005652EA"/>
    <w:rsid w:val="005656C1"/>
    <w:rsid w:val="00565804"/>
    <w:rsid w:val="00566190"/>
    <w:rsid w:val="00566797"/>
    <w:rsid w:val="00567997"/>
    <w:rsid w:val="00570914"/>
    <w:rsid w:val="00570918"/>
    <w:rsid w:val="00571392"/>
    <w:rsid w:val="00571988"/>
    <w:rsid w:val="00572790"/>
    <w:rsid w:val="0057290E"/>
    <w:rsid w:val="0057336D"/>
    <w:rsid w:val="00573A42"/>
    <w:rsid w:val="00575C1B"/>
    <w:rsid w:val="0057671F"/>
    <w:rsid w:val="00576B57"/>
    <w:rsid w:val="005778B6"/>
    <w:rsid w:val="00581A97"/>
    <w:rsid w:val="00581F6C"/>
    <w:rsid w:val="00582476"/>
    <w:rsid w:val="005834E9"/>
    <w:rsid w:val="00583AAA"/>
    <w:rsid w:val="00583DA5"/>
    <w:rsid w:val="005842E8"/>
    <w:rsid w:val="005846C6"/>
    <w:rsid w:val="00585012"/>
    <w:rsid w:val="005851F4"/>
    <w:rsid w:val="00585440"/>
    <w:rsid w:val="0058662C"/>
    <w:rsid w:val="005873F2"/>
    <w:rsid w:val="00587ECD"/>
    <w:rsid w:val="005908E9"/>
    <w:rsid w:val="005910F3"/>
    <w:rsid w:val="00591124"/>
    <w:rsid w:val="005912A4"/>
    <w:rsid w:val="0059256B"/>
    <w:rsid w:val="00592F7E"/>
    <w:rsid w:val="00593648"/>
    <w:rsid w:val="005944DF"/>
    <w:rsid w:val="005947C8"/>
    <w:rsid w:val="00596D37"/>
    <w:rsid w:val="005A020E"/>
    <w:rsid w:val="005A0757"/>
    <w:rsid w:val="005A08D1"/>
    <w:rsid w:val="005A178E"/>
    <w:rsid w:val="005A3A2A"/>
    <w:rsid w:val="005A3C24"/>
    <w:rsid w:val="005A4C41"/>
    <w:rsid w:val="005A4EAA"/>
    <w:rsid w:val="005A4F50"/>
    <w:rsid w:val="005A5216"/>
    <w:rsid w:val="005A6043"/>
    <w:rsid w:val="005B1D6A"/>
    <w:rsid w:val="005B21BC"/>
    <w:rsid w:val="005B3C0D"/>
    <w:rsid w:val="005B45AB"/>
    <w:rsid w:val="005B60B8"/>
    <w:rsid w:val="005B6889"/>
    <w:rsid w:val="005B6E7C"/>
    <w:rsid w:val="005B7D5C"/>
    <w:rsid w:val="005C15B3"/>
    <w:rsid w:val="005C1BFF"/>
    <w:rsid w:val="005C1D36"/>
    <w:rsid w:val="005C237A"/>
    <w:rsid w:val="005C24CA"/>
    <w:rsid w:val="005C30BF"/>
    <w:rsid w:val="005C590A"/>
    <w:rsid w:val="005C5EAB"/>
    <w:rsid w:val="005C630A"/>
    <w:rsid w:val="005C6CE9"/>
    <w:rsid w:val="005C7811"/>
    <w:rsid w:val="005C79B3"/>
    <w:rsid w:val="005C7A1F"/>
    <w:rsid w:val="005D0B4C"/>
    <w:rsid w:val="005D23CF"/>
    <w:rsid w:val="005D27CC"/>
    <w:rsid w:val="005D38F2"/>
    <w:rsid w:val="005D41BA"/>
    <w:rsid w:val="005D43FE"/>
    <w:rsid w:val="005D4E28"/>
    <w:rsid w:val="005D4EEB"/>
    <w:rsid w:val="005D5C72"/>
    <w:rsid w:val="005D6041"/>
    <w:rsid w:val="005D636A"/>
    <w:rsid w:val="005D659B"/>
    <w:rsid w:val="005E00A3"/>
    <w:rsid w:val="005E02C8"/>
    <w:rsid w:val="005E05FD"/>
    <w:rsid w:val="005E0657"/>
    <w:rsid w:val="005E07B5"/>
    <w:rsid w:val="005E121A"/>
    <w:rsid w:val="005E1834"/>
    <w:rsid w:val="005E402C"/>
    <w:rsid w:val="005E51BB"/>
    <w:rsid w:val="005E52E1"/>
    <w:rsid w:val="005E7E13"/>
    <w:rsid w:val="005F2CDD"/>
    <w:rsid w:val="005F3323"/>
    <w:rsid w:val="005F4AC1"/>
    <w:rsid w:val="005F5676"/>
    <w:rsid w:val="005F575E"/>
    <w:rsid w:val="005F5D2D"/>
    <w:rsid w:val="005F607D"/>
    <w:rsid w:val="005F623A"/>
    <w:rsid w:val="005F7EDA"/>
    <w:rsid w:val="005F7F5A"/>
    <w:rsid w:val="00600D40"/>
    <w:rsid w:val="00600F0F"/>
    <w:rsid w:val="00601835"/>
    <w:rsid w:val="00601AFE"/>
    <w:rsid w:val="006024D8"/>
    <w:rsid w:val="0060275B"/>
    <w:rsid w:val="00602C9D"/>
    <w:rsid w:val="0060414A"/>
    <w:rsid w:val="006041B0"/>
    <w:rsid w:val="00604B5F"/>
    <w:rsid w:val="00605085"/>
    <w:rsid w:val="00605EF4"/>
    <w:rsid w:val="00610695"/>
    <w:rsid w:val="00610C39"/>
    <w:rsid w:val="00611424"/>
    <w:rsid w:val="00611C22"/>
    <w:rsid w:val="00612F79"/>
    <w:rsid w:val="00615AA1"/>
    <w:rsid w:val="00615FEC"/>
    <w:rsid w:val="006165B1"/>
    <w:rsid w:val="00616ACC"/>
    <w:rsid w:val="00617041"/>
    <w:rsid w:val="00620193"/>
    <w:rsid w:val="00620864"/>
    <w:rsid w:val="00621441"/>
    <w:rsid w:val="00621755"/>
    <w:rsid w:val="00621AFB"/>
    <w:rsid w:val="00621F6E"/>
    <w:rsid w:val="006231A8"/>
    <w:rsid w:val="006232EC"/>
    <w:rsid w:val="006237AB"/>
    <w:rsid w:val="00624A04"/>
    <w:rsid w:val="00625C73"/>
    <w:rsid w:val="00626837"/>
    <w:rsid w:val="00626CA3"/>
    <w:rsid w:val="00627162"/>
    <w:rsid w:val="006275C7"/>
    <w:rsid w:val="006277E7"/>
    <w:rsid w:val="00630AB8"/>
    <w:rsid w:val="006311B6"/>
    <w:rsid w:val="006316B5"/>
    <w:rsid w:val="00631F32"/>
    <w:rsid w:val="006335B1"/>
    <w:rsid w:val="00633858"/>
    <w:rsid w:val="00633F39"/>
    <w:rsid w:val="00634633"/>
    <w:rsid w:val="00635F9A"/>
    <w:rsid w:val="0063682A"/>
    <w:rsid w:val="00636AAA"/>
    <w:rsid w:val="006404B1"/>
    <w:rsid w:val="00641889"/>
    <w:rsid w:val="00641941"/>
    <w:rsid w:val="00642335"/>
    <w:rsid w:val="00643033"/>
    <w:rsid w:val="00644235"/>
    <w:rsid w:val="0064430F"/>
    <w:rsid w:val="006446BC"/>
    <w:rsid w:val="006449E8"/>
    <w:rsid w:val="006457B0"/>
    <w:rsid w:val="00646B1F"/>
    <w:rsid w:val="006479A3"/>
    <w:rsid w:val="0065099A"/>
    <w:rsid w:val="00652737"/>
    <w:rsid w:val="0065286F"/>
    <w:rsid w:val="00652D4A"/>
    <w:rsid w:val="00652E9E"/>
    <w:rsid w:val="00653799"/>
    <w:rsid w:val="00653C6C"/>
    <w:rsid w:val="00654211"/>
    <w:rsid w:val="00656607"/>
    <w:rsid w:val="0065662A"/>
    <w:rsid w:val="00656A1C"/>
    <w:rsid w:val="00657AE0"/>
    <w:rsid w:val="0066035B"/>
    <w:rsid w:val="00660B8E"/>
    <w:rsid w:val="00661F7A"/>
    <w:rsid w:val="00662B5E"/>
    <w:rsid w:val="00663DA6"/>
    <w:rsid w:val="0066431A"/>
    <w:rsid w:val="00665202"/>
    <w:rsid w:val="0066684D"/>
    <w:rsid w:val="00667178"/>
    <w:rsid w:val="006675FB"/>
    <w:rsid w:val="0066763D"/>
    <w:rsid w:val="00671F21"/>
    <w:rsid w:val="00672049"/>
    <w:rsid w:val="0067254E"/>
    <w:rsid w:val="00672DEF"/>
    <w:rsid w:val="0067389C"/>
    <w:rsid w:val="00674FB8"/>
    <w:rsid w:val="00675DB1"/>
    <w:rsid w:val="006805D3"/>
    <w:rsid w:val="0068063D"/>
    <w:rsid w:val="00680D77"/>
    <w:rsid w:val="00680FE0"/>
    <w:rsid w:val="00681713"/>
    <w:rsid w:val="006831AB"/>
    <w:rsid w:val="00685F4A"/>
    <w:rsid w:val="006874DA"/>
    <w:rsid w:val="00687DA2"/>
    <w:rsid w:val="0069032A"/>
    <w:rsid w:val="0069105E"/>
    <w:rsid w:val="00692060"/>
    <w:rsid w:val="006924C2"/>
    <w:rsid w:val="00692BAD"/>
    <w:rsid w:val="00694356"/>
    <w:rsid w:val="00694425"/>
    <w:rsid w:val="00694C2B"/>
    <w:rsid w:val="0069512E"/>
    <w:rsid w:val="00696343"/>
    <w:rsid w:val="006A1487"/>
    <w:rsid w:val="006A191D"/>
    <w:rsid w:val="006A27B8"/>
    <w:rsid w:val="006A423E"/>
    <w:rsid w:val="006A48D3"/>
    <w:rsid w:val="006A4DBE"/>
    <w:rsid w:val="006A4EDD"/>
    <w:rsid w:val="006A572F"/>
    <w:rsid w:val="006A64B9"/>
    <w:rsid w:val="006B11A5"/>
    <w:rsid w:val="006B174F"/>
    <w:rsid w:val="006B1ED1"/>
    <w:rsid w:val="006B2644"/>
    <w:rsid w:val="006B26BE"/>
    <w:rsid w:val="006B36F8"/>
    <w:rsid w:val="006B57E6"/>
    <w:rsid w:val="006B5A28"/>
    <w:rsid w:val="006B7042"/>
    <w:rsid w:val="006B74CE"/>
    <w:rsid w:val="006C0CCF"/>
    <w:rsid w:val="006C109E"/>
    <w:rsid w:val="006C1A25"/>
    <w:rsid w:val="006C1D5E"/>
    <w:rsid w:val="006C2A4E"/>
    <w:rsid w:val="006C2E12"/>
    <w:rsid w:val="006C3265"/>
    <w:rsid w:val="006C39BA"/>
    <w:rsid w:val="006C3DB2"/>
    <w:rsid w:val="006C45D1"/>
    <w:rsid w:val="006C51C0"/>
    <w:rsid w:val="006C5441"/>
    <w:rsid w:val="006C5782"/>
    <w:rsid w:val="006C5D06"/>
    <w:rsid w:val="006C6236"/>
    <w:rsid w:val="006C7FBC"/>
    <w:rsid w:val="006D0F11"/>
    <w:rsid w:val="006D2EF1"/>
    <w:rsid w:val="006D4B6A"/>
    <w:rsid w:val="006D5927"/>
    <w:rsid w:val="006D6926"/>
    <w:rsid w:val="006E09B8"/>
    <w:rsid w:val="006E1FA3"/>
    <w:rsid w:val="006E2199"/>
    <w:rsid w:val="006E2747"/>
    <w:rsid w:val="006E27E7"/>
    <w:rsid w:val="006E3898"/>
    <w:rsid w:val="006E53F3"/>
    <w:rsid w:val="006E5723"/>
    <w:rsid w:val="006E67BE"/>
    <w:rsid w:val="006E7667"/>
    <w:rsid w:val="006E79E8"/>
    <w:rsid w:val="006F16E2"/>
    <w:rsid w:val="006F1B7E"/>
    <w:rsid w:val="006F20A0"/>
    <w:rsid w:val="006F3A06"/>
    <w:rsid w:val="006F3FC3"/>
    <w:rsid w:val="006F4702"/>
    <w:rsid w:val="006F545E"/>
    <w:rsid w:val="006F54DB"/>
    <w:rsid w:val="006F662A"/>
    <w:rsid w:val="006F6698"/>
    <w:rsid w:val="006F6762"/>
    <w:rsid w:val="006F753E"/>
    <w:rsid w:val="007004FB"/>
    <w:rsid w:val="00701D68"/>
    <w:rsid w:val="00702CC2"/>
    <w:rsid w:val="00702D29"/>
    <w:rsid w:val="00702FBC"/>
    <w:rsid w:val="00703A3B"/>
    <w:rsid w:val="007049DB"/>
    <w:rsid w:val="007070CD"/>
    <w:rsid w:val="007134FD"/>
    <w:rsid w:val="00713C57"/>
    <w:rsid w:val="00715734"/>
    <w:rsid w:val="00716164"/>
    <w:rsid w:val="00716940"/>
    <w:rsid w:val="00716D2C"/>
    <w:rsid w:val="00717155"/>
    <w:rsid w:val="007173FA"/>
    <w:rsid w:val="0071796B"/>
    <w:rsid w:val="00717DB9"/>
    <w:rsid w:val="00720BE6"/>
    <w:rsid w:val="00720F27"/>
    <w:rsid w:val="00721298"/>
    <w:rsid w:val="00721B97"/>
    <w:rsid w:val="00721C38"/>
    <w:rsid w:val="00721ED1"/>
    <w:rsid w:val="0072635E"/>
    <w:rsid w:val="00726C3E"/>
    <w:rsid w:val="00730746"/>
    <w:rsid w:val="00730C24"/>
    <w:rsid w:val="007314AB"/>
    <w:rsid w:val="00731F62"/>
    <w:rsid w:val="007344D4"/>
    <w:rsid w:val="00737175"/>
    <w:rsid w:val="007373FC"/>
    <w:rsid w:val="007403AD"/>
    <w:rsid w:val="0074065C"/>
    <w:rsid w:val="00741752"/>
    <w:rsid w:val="00741816"/>
    <w:rsid w:val="00741F47"/>
    <w:rsid w:val="00743D67"/>
    <w:rsid w:val="0074481C"/>
    <w:rsid w:val="00744BC2"/>
    <w:rsid w:val="00745396"/>
    <w:rsid w:val="00746BD7"/>
    <w:rsid w:val="00747468"/>
    <w:rsid w:val="007476EF"/>
    <w:rsid w:val="00750F1E"/>
    <w:rsid w:val="00751360"/>
    <w:rsid w:val="0075165D"/>
    <w:rsid w:val="00751D36"/>
    <w:rsid w:val="00752881"/>
    <w:rsid w:val="00752A75"/>
    <w:rsid w:val="00752CED"/>
    <w:rsid w:val="00753444"/>
    <w:rsid w:val="007535EB"/>
    <w:rsid w:val="00753E6D"/>
    <w:rsid w:val="00754260"/>
    <w:rsid w:val="00754501"/>
    <w:rsid w:val="00757058"/>
    <w:rsid w:val="00757965"/>
    <w:rsid w:val="00761662"/>
    <w:rsid w:val="00761721"/>
    <w:rsid w:val="0076311D"/>
    <w:rsid w:val="00763181"/>
    <w:rsid w:val="007638FE"/>
    <w:rsid w:val="00765E28"/>
    <w:rsid w:val="00765F44"/>
    <w:rsid w:val="00766955"/>
    <w:rsid w:val="00767E2E"/>
    <w:rsid w:val="00770506"/>
    <w:rsid w:val="007705AA"/>
    <w:rsid w:val="00770657"/>
    <w:rsid w:val="00770E1B"/>
    <w:rsid w:val="007718AB"/>
    <w:rsid w:val="007739E7"/>
    <w:rsid w:val="00773F67"/>
    <w:rsid w:val="0077457B"/>
    <w:rsid w:val="00775D2A"/>
    <w:rsid w:val="00777007"/>
    <w:rsid w:val="007776CE"/>
    <w:rsid w:val="00777A65"/>
    <w:rsid w:val="00780D6F"/>
    <w:rsid w:val="00780D77"/>
    <w:rsid w:val="00781352"/>
    <w:rsid w:val="00781521"/>
    <w:rsid w:val="0078204F"/>
    <w:rsid w:val="00782E29"/>
    <w:rsid w:val="00783A67"/>
    <w:rsid w:val="00784B08"/>
    <w:rsid w:val="0078577B"/>
    <w:rsid w:val="00785D0F"/>
    <w:rsid w:val="007860B3"/>
    <w:rsid w:val="007861AD"/>
    <w:rsid w:val="00786975"/>
    <w:rsid w:val="00787187"/>
    <w:rsid w:val="00787E57"/>
    <w:rsid w:val="007914C3"/>
    <w:rsid w:val="007930B7"/>
    <w:rsid w:val="0079468B"/>
    <w:rsid w:val="0079493C"/>
    <w:rsid w:val="00796376"/>
    <w:rsid w:val="0079789F"/>
    <w:rsid w:val="007A1346"/>
    <w:rsid w:val="007A1DA3"/>
    <w:rsid w:val="007A3634"/>
    <w:rsid w:val="007A6651"/>
    <w:rsid w:val="007A6867"/>
    <w:rsid w:val="007A6BFE"/>
    <w:rsid w:val="007A71A8"/>
    <w:rsid w:val="007A75FB"/>
    <w:rsid w:val="007A777B"/>
    <w:rsid w:val="007B0945"/>
    <w:rsid w:val="007B0D53"/>
    <w:rsid w:val="007B0E33"/>
    <w:rsid w:val="007B0F67"/>
    <w:rsid w:val="007B105D"/>
    <w:rsid w:val="007B13C2"/>
    <w:rsid w:val="007B193D"/>
    <w:rsid w:val="007B1EF7"/>
    <w:rsid w:val="007B2ABB"/>
    <w:rsid w:val="007B3D05"/>
    <w:rsid w:val="007B5B0F"/>
    <w:rsid w:val="007B5D9F"/>
    <w:rsid w:val="007B6308"/>
    <w:rsid w:val="007B698C"/>
    <w:rsid w:val="007B71C1"/>
    <w:rsid w:val="007C0988"/>
    <w:rsid w:val="007C1CD5"/>
    <w:rsid w:val="007C5067"/>
    <w:rsid w:val="007C56F1"/>
    <w:rsid w:val="007C5FFA"/>
    <w:rsid w:val="007C6237"/>
    <w:rsid w:val="007C6325"/>
    <w:rsid w:val="007C7B57"/>
    <w:rsid w:val="007D202C"/>
    <w:rsid w:val="007D25AC"/>
    <w:rsid w:val="007D3243"/>
    <w:rsid w:val="007D4295"/>
    <w:rsid w:val="007D59E7"/>
    <w:rsid w:val="007E0590"/>
    <w:rsid w:val="007E0A76"/>
    <w:rsid w:val="007E2F94"/>
    <w:rsid w:val="007E34AF"/>
    <w:rsid w:val="007E4401"/>
    <w:rsid w:val="007E5BF7"/>
    <w:rsid w:val="007E641A"/>
    <w:rsid w:val="007E7ECD"/>
    <w:rsid w:val="007F1010"/>
    <w:rsid w:val="007F12D7"/>
    <w:rsid w:val="007F1E79"/>
    <w:rsid w:val="007F1E9C"/>
    <w:rsid w:val="007F3EF6"/>
    <w:rsid w:val="007F4257"/>
    <w:rsid w:val="007F461C"/>
    <w:rsid w:val="007F4674"/>
    <w:rsid w:val="007F47CC"/>
    <w:rsid w:val="007F4D73"/>
    <w:rsid w:val="007F61BE"/>
    <w:rsid w:val="007F68BD"/>
    <w:rsid w:val="007F6CBB"/>
    <w:rsid w:val="007F72A1"/>
    <w:rsid w:val="007F78CB"/>
    <w:rsid w:val="008003FA"/>
    <w:rsid w:val="0080138C"/>
    <w:rsid w:val="008014FA"/>
    <w:rsid w:val="008018CC"/>
    <w:rsid w:val="00801A44"/>
    <w:rsid w:val="008020FD"/>
    <w:rsid w:val="0080270E"/>
    <w:rsid w:val="00803521"/>
    <w:rsid w:val="00803D20"/>
    <w:rsid w:val="00803F9E"/>
    <w:rsid w:val="0080781F"/>
    <w:rsid w:val="0080783B"/>
    <w:rsid w:val="00810A66"/>
    <w:rsid w:val="0081145F"/>
    <w:rsid w:val="00811CFB"/>
    <w:rsid w:val="00813927"/>
    <w:rsid w:val="008141BA"/>
    <w:rsid w:val="0081476D"/>
    <w:rsid w:val="0081479B"/>
    <w:rsid w:val="00816833"/>
    <w:rsid w:val="008171FA"/>
    <w:rsid w:val="008218B3"/>
    <w:rsid w:val="00821D71"/>
    <w:rsid w:val="00823956"/>
    <w:rsid w:val="0082407C"/>
    <w:rsid w:val="00824230"/>
    <w:rsid w:val="008252D8"/>
    <w:rsid w:val="00826A86"/>
    <w:rsid w:val="00827D51"/>
    <w:rsid w:val="00830BC5"/>
    <w:rsid w:val="008317F5"/>
    <w:rsid w:val="00831B43"/>
    <w:rsid w:val="008336C3"/>
    <w:rsid w:val="00834950"/>
    <w:rsid w:val="008366E3"/>
    <w:rsid w:val="00836F47"/>
    <w:rsid w:val="008402E0"/>
    <w:rsid w:val="00840838"/>
    <w:rsid w:val="00842429"/>
    <w:rsid w:val="008426A0"/>
    <w:rsid w:val="00842DEC"/>
    <w:rsid w:val="00843950"/>
    <w:rsid w:val="00843A6C"/>
    <w:rsid w:val="008444AE"/>
    <w:rsid w:val="0084616E"/>
    <w:rsid w:val="008478F9"/>
    <w:rsid w:val="00847E7F"/>
    <w:rsid w:val="008511E7"/>
    <w:rsid w:val="0085185C"/>
    <w:rsid w:val="00852160"/>
    <w:rsid w:val="008531DA"/>
    <w:rsid w:val="008534BA"/>
    <w:rsid w:val="008543B3"/>
    <w:rsid w:val="008545CD"/>
    <w:rsid w:val="00854A65"/>
    <w:rsid w:val="00854BF8"/>
    <w:rsid w:val="00854C26"/>
    <w:rsid w:val="0085630B"/>
    <w:rsid w:val="008565EE"/>
    <w:rsid w:val="008568AD"/>
    <w:rsid w:val="00857DD3"/>
    <w:rsid w:val="008606AC"/>
    <w:rsid w:val="00860D93"/>
    <w:rsid w:val="0086132B"/>
    <w:rsid w:val="008623C7"/>
    <w:rsid w:val="008623CA"/>
    <w:rsid w:val="00862AFB"/>
    <w:rsid w:val="00866104"/>
    <w:rsid w:val="00867C98"/>
    <w:rsid w:val="00871391"/>
    <w:rsid w:val="00872029"/>
    <w:rsid w:val="00872A27"/>
    <w:rsid w:val="00875843"/>
    <w:rsid w:val="00875B12"/>
    <w:rsid w:val="008768B9"/>
    <w:rsid w:val="00877D7D"/>
    <w:rsid w:val="00880056"/>
    <w:rsid w:val="0088038C"/>
    <w:rsid w:val="00880810"/>
    <w:rsid w:val="00880B26"/>
    <w:rsid w:val="00881DF5"/>
    <w:rsid w:val="00882FA8"/>
    <w:rsid w:val="00883616"/>
    <w:rsid w:val="00885BB5"/>
    <w:rsid w:val="00885E54"/>
    <w:rsid w:val="00887291"/>
    <w:rsid w:val="00887332"/>
    <w:rsid w:val="00887DF6"/>
    <w:rsid w:val="008900F9"/>
    <w:rsid w:val="00890182"/>
    <w:rsid w:val="008915ED"/>
    <w:rsid w:val="00891DCD"/>
    <w:rsid w:val="00891DDE"/>
    <w:rsid w:val="00894353"/>
    <w:rsid w:val="00895E15"/>
    <w:rsid w:val="008A1990"/>
    <w:rsid w:val="008A240B"/>
    <w:rsid w:val="008A38AB"/>
    <w:rsid w:val="008A3B7C"/>
    <w:rsid w:val="008A3FA6"/>
    <w:rsid w:val="008A4EDB"/>
    <w:rsid w:val="008A5735"/>
    <w:rsid w:val="008A697B"/>
    <w:rsid w:val="008A6B70"/>
    <w:rsid w:val="008A709E"/>
    <w:rsid w:val="008B007A"/>
    <w:rsid w:val="008B0C86"/>
    <w:rsid w:val="008B0E50"/>
    <w:rsid w:val="008B1805"/>
    <w:rsid w:val="008B2DE6"/>
    <w:rsid w:val="008B4590"/>
    <w:rsid w:val="008B5129"/>
    <w:rsid w:val="008B520A"/>
    <w:rsid w:val="008B5FD3"/>
    <w:rsid w:val="008B6A2F"/>
    <w:rsid w:val="008C0736"/>
    <w:rsid w:val="008C121B"/>
    <w:rsid w:val="008C1CDB"/>
    <w:rsid w:val="008C4091"/>
    <w:rsid w:val="008C42AC"/>
    <w:rsid w:val="008C48BB"/>
    <w:rsid w:val="008C6C30"/>
    <w:rsid w:val="008C7165"/>
    <w:rsid w:val="008C72DA"/>
    <w:rsid w:val="008C72DC"/>
    <w:rsid w:val="008C7527"/>
    <w:rsid w:val="008D3E3A"/>
    <w:rsid w:val="008D5AA8"/>
    <w:rsid w:val="008D660F"/>
    <w:rsid w:val="008D7450"/>
    <w:rsid w:val="008D79C9"/>
    <w:rsid w:val="008E0474"/>
    <w:rsid w:val="008E0B21"/>
    <w:rsid w:val="008E0E16"/>
    <w:rsid w:val="008E1DC7"/>
    <w:rsid w:val="008E38E2"/>
    <w:rsid w:val="008E508F"/>
    <w:rsid w:val="008F3346"/>
    <w:rsid w:val="008F4822"/>
    <w:rsid w:val="008F664A"/>
    <w:rsid w:val="00900D0B"/>
    <w:rsid w:val="00900EA9"/>
    <w:rsid w:val="00902765"/>
    <w:rsid w:val="00902FCC"/>
    <w:rsid w:val="00903D73"/>
    <w:rsid w:val="009055EA"/>
    <w:rsid w:val="00907CC2"/>
    <w:rsid w:val="00907D30"/>
    <w:rsid w:val="00910774"/>
    <w:rsid w:val="0091108C"/>
    <w:rsid w:val="009110FE"/>
    <w:rsid w:val="009113F8"/>
    <w:rsid w:val="00911DF2"/>
    <w:rsid w:val="00912470"/>
    <w:rsid w:val="009127DE"/>
    <w:rsid w:val="00912D0C"/>
    <w:rsid w:val="00913553"/>
    <w:rsid w:val="00913A29"/>
    <w:rsid w:val="009144DD"/>
    <w:rsid w:val="00914919"/>
    <w:rsid w:val="009151AA"/>
    <w:rsid w:val="009154A9"/>
    <w:rsid w:val="00916855"/>
    <w:rsid w:val="0091755E"/>
    <w:rsid w:val="00917B80"/>
    <w:rsid w:val="00917E11"/>
    <w:rsid w:val="009204FE"/>
    <w:rsid w:val="00920CAB"/>
    <w:rsid w:val="00921306"/>
    <w:rsid w:val="009218C6"/>
    <w:rsid w:val="009219BA"/>
    <w:rsid w:val="009219BF"/>
    <w:rsid w:val="0092337C"/>
    <w:rsid w:val="0092354B"/>
    <w:rsid w:val="00923DC4"/>
    <w:rsid w:val="00923FE0"/>
    <w:rsid w:val="00924421"/>
    <w:rsid w:val="009252EE"/>
    <w:rsid w:val="00925B48"/>
    <w:rsid w:val="00925E68"/>
    <w:rsid w:val="0092681C"/>
    <w:rsid w:val="009302B9"/>
    <w:rsid w:val="00930920"/>
    <w:rsid w:val="00930E4C"/>
    <w:rsid w:val="00931C83"/>
    <w:rsid w:val="0093214F"/>
    <w:rsid w:val="00934345"/>
    <w:rsid w:val="0093460B"/>
    <w:rsid w:val="00934CE6"/>
    <w:rsid w:val="00936C04"/>
    <w:rsid w:val="0093764E"/>
    <w:rsid w:val="0094118C"/>
    <w:rsid w:val="00941474"/>
    <w:rsid w:val="00941558"/>
    <w:rsid w:val="00941772"/>
    <w:rsid w:val="009419AF"/>
    <w:rsid w:val="009429FE"/>
    <w:rsid w:val="00942B5E"/>
    <w:rsid w:val="00947DDC"/>
    <w:rsid w:val="0095085E"/>
    <w:rsid w:val="00950D35"/>
    <w:rsid w:val="00951052"/>
    <w:rsid w:val="00951D41"/>
    <w:rsid w:val="00952BAA"/>
    <w:rsid w:val="00953EA5"/>
    <w:rsid w:val="00954B74"/>
    <w:rsid w:val="009552CB"/>
    <w:rsid w:val="00955CAC"/>
    <w:rsid w:val="00956807"/>
    <w:rsid w:val="00956ECD"/>
    <w:rsid w:val="009579EE"/>
    <w:rsid w:val="00957F65"/>
    <w:rsid w:val="0096023D"/>
    <w:rsid w:val="00961998"/>
    <w:rsid w:val="00962AC4"/>
    <w:rsid w:val="00963019"/>
    <w:rsid w:val="00963114"/>
    <w:rsid w:val="009637DC"/>
    <w:rsid w:val="00963ED7"/>
    <w:rsid w:val="00965363"/>
    <w:rsid w:val="009656D9"/>
    <w:rsid w:val="00965AAF"/>
    <w:rsid w:val="00965F85"/>
    <w:rsid w:val="00966678"/>
    <w:rsid w:val="00967171"/>
    <w:rsid w:val="00967241"/>
    <w:rsid w:val="009709AB"/>
    <w:rsid w:val="00971D67"/>
    <w:rsid w:val="00972368"/>
    <w:rsid w:val="00972748"/>
    <w:rsid w:val="009732C0"/>
    <w:rsid w:val="009747DC"/>
    <w:rsid w:val="00975ED8"/>
    <w:rsid w:val="00977081"/>
    <w:rsid w:val="00977A6B"/>
    <w:rsid w:val="0098045F"/>
    <w:rsid w:val="0098141E"/>
    <w:rsid w:val="00982DA7"/>
    <w:rsid w:val="0098341D"/>
    <w:rsid w:val="009842D5"/>
    <w:rsid w:val="0098653A"/>
    <w:rsid w:val="00986844"/>
    <w:rsid w:val="00986B18"/>
    <w:rsid w:val="00987FA9"/>
    <w:rsid w:val="0099034E"/>
    <w:rsid w:val="00990BE6"/>
    <w:rsid w:val="00990E90"/>
    <w:rsid w:val="009910DF"/>
    <w:rsid w:val="009918DF"/>
    <w:rsid w:val="009920A7"/>
    <w:rsid w:val="009923E9"/>
    <w:rsid w:val="00992694"/>
    <w:rsid w:val="00992C64"/>
    <w:rsid w:val="00992EFB"/>
    <w:rsid w:val="0099375C"/>
    <w:rsid w:val="00993D3A"/>
    <w:rsid w:val="009949A1"/>
    <w:rsid w:val="00994A6C"/>
    <w:rsid w:val="00994D21"/>
    <w:rsid w:val="0099513B"/>
    <w:rsid w:val="0099557D"/>
    <w:rsid w:val="00995813"/>
    <w:rsid w:val="00997D56"/>
    <w:rsid w:val="009A08D4"/>
    <w:rsid w:val="009A2590"/>
    <w:rsid w:val="009A3747"/>
    <w:rsid w:val="009A39AE"/>
    <w:rsid w:val="009A45C0"/>
    <w:rsid w:val="009A4AD9"/>
    <w:rsid w:val="009A6405"/>
    <w:rsid w:val="009A6722"/>
    <w:rsid w:val="009A6A11"/>
    <w:rsid w:val="009A6D39"/>
    <w:rsid w:val="009A7671"/>
    <w:rsid w:val="009A7D95"/>
    <w:rsid w:val="009B095F"/>
    <w:rsid w:val="009B1673"/>
    <w:rsid w:val="009B1841"/>
    <w:rsid w:val="009B25D6"/>
    <w:rsid w:val="009B27C7"/>
    <w:rsid w:val="009B2FA7"/>
    <w:rsid w:val="009B329A"/>
    <w:rsid w:val="009B3E02"/>
    <w:rsid w:val="009B45A8"/>
    <w:rsid w:val="009B4B4C"/>
    <w:rsid w:val="009B4E90"/>
    <w:rsid w:val="009B54C0"/>
    <w:rsid w:val="009B6E73"/>
    <w:rsid w:val="009B6FFF"/>
    <w:rsid w:val="009B7442"/>
    <w:rsid w:val="009B7BEC"/>
    <w:rsid w:val="009C04E8"/>
    <w:rsid w:val="009C0FE3"/>
    <w:rsid w:val="009C1446"/>
    <w:rsid w:val="009C1E05"/>
    <w:rsid w:val="009C2DBB"/>
    <w:rsid w:val="009C50F9"/>
    <w:rsid w:val="009C531D"/>
    <w:rsid w:val="009C5FDE"/>
    <w:rsid w:val="009C6E06"/>
    <w:rsid w:val="009C7A8C"/>
    <w:rsid w:val="009C7DB2"/>
    <w:rsid w:val="009D0BE7"/>
    <w:rsid w:val="009D0E26"/>
    <w:rsid w:val="009D14AC"/>
    <w:rsid w:val="009D168A"/>
    <w:rsid w:val="009D202A"/>
    <w:rsid w:val="009D20FC"/>
    <w:rsid w:val="009D2EBC"/>
    <w:rsid w:val="009D3A15"/>
    <w:rsid w:val="009D418A"/>
    <w:rsid w:val="009D48F0"/>
    <w:rsid w:val="009D54FB"/>
    <w:rsid w:val="009D5E1C"/>
    <w:rsid w:val="009D6A0F"/>
    <w:rsid w:val="009D6B14"/>
    <w:rsid w:val="009D7765"/>
    <w:rsid w:val="009D79C9"/>
    <w:rsid w:val="009E0FB3"/>
    <w:rsid w:val="009E1219"/>
    <w:rsid w:val="009E51FB"/>
    <w:rsid w:val="009E525E"/>
    <w:rsid w:val="009E55C4"/>
    <w:rsid w:val="009E5B8C"/>
    <w:rsid w:val="009E6B00"/>
    <w:rsid w:val="009F0943"/>
    <w:rsid w:val="009F0A9B"/>
    <w:rsid w:val="009F1114"/>
    <w:rsid w:val="009F187F"/>
    <w:rsid w:val="009F1BFB"/>
    <w:rsid w:val="009F2A17"/>
    <w:rsid w:val="009F397B"/>
    <w:rsid w:val="009F3FC9"/>
    <w:rsid w:val="009F4660"/>
    <w:rsid w:val="009F5E74"/>
    <w:rsid w:val="009F6DAA"/>
    <w:rsid w:val="009F7C75"/>
    <w:rsid w:val="00A000D2"/>
    <w:rsid w:val="00A014F4"/>
    <w:rsid w:val="00A01E03"/>
    <w:rsid w:val="00A0327F"/>
    <w:rsid w:val="00A04AEA"/>
    <w:rsid w:val="00A0546E"/>
    <w:rsid w:val="00A060A3"/>
    <w:rsid w:val="00A104F1"/>
    <w:rsid w:val="00A10904"/>
    <w:rsid w:val="00A11E73"/>
    <w:rsid w:val="00A13430"/>
    <w:rsid w:val="00A14B96"/>
    <w:rsid w:val="00A154C9"/>
    <w:rsid w:val="00A17F15"/>
    <w:rsid w:val="00A2014D"/>
    <w:rsid w:val="00A212FF"/>
    <w:rsid w:val="00A2187E"/>
    <w:rsid w:val="00A21A53"/>
    <w:rsid w:val="00A21FD8"/>
    <w:rsid w:val="00A223A4"/>
    <w:rsid w:val="00A22C55"/>
    <w:rsid w:val="00A25A5C"/>
    <w:rsid w:val="00A25F43"/>
    <w:rsid w:val="00A27358"/>
    <w:rsid w:val="00A27438"/>
    <w:rsid w:val="00A27AA1"/>
    <w:rsid w:val="00A30F50"/>
    <w:rsid w:val="00A31A31"/>
    <w:rsid w:val="00A3486C"/>
    <w:rsid w:val="00A34A9D"/>
    <w:rsid w:val="00A36205"/>
    <w:rsid w:val="00A37560"/>
    <w:rsid w:val="00A3786C"/>
    <w:rsid w:val="00A40B63"/>
    <w:rsid w:val="00A4161C"/>
    <w:rsid w:val="00A42DD2"/>
    <w:rsid w:val="00A44742"/>
    <w:rsid w:val="00A44BD9"/>
    <w:rsid w:val="00A44F0F"/>
    <w:rsid w:val="00A460AE"/>
    <w:rsid w:val="00A479A2"/>
    <w:rsid w:val="00A47CDD"/>
    <w:rsid w:val="00A519AA"/>
    <w:rsid w:val="00A5261E"/>
    <w:rsid w:val="00A52983"/>
    <w:rsid w:val="00A52D42"/>
    <w:rsid w:val="00A56001"/>
    <w:rsid w:val="00A56319"/>
    <w:rsid w:val="00A57791"/>
    <w:rsid w:val="00A60296"/>
    <w:rsid w:val="00A606E5"/>
    <w:rsid w:val="00A61AF1"/>
    <w:rsid w:val="00A61D6A"/>
    <w:rsid w:val="00A61E4E"/>
    <w:rsid w:val="00A64268"/>
    <w:rsid w:val="00A644AD"/>
    <w:rsid w:val="00A660BA"/>
    <w:rsid w:val="00A66E07"/>
    <w:rsid w:val="00A673C9"/>
    <w:rsid w:val="00A67DA7"/>
    <w:rsid w:val="00A700CD"/>
    <w:rsid w:val="00A70715"/>
    <w:rsid w:val="00A70F7E"/>
    <w:rsid w:val="00A722DB"/>
    <w:rsid w:val="00A7532F"/>
    <w:rsid w:val="00A761BC"/>
    <w:rsid w:val="00A76E3A"/>
    <w:rsid w:val="00A771BB"/>
    <w:rsid w:val="00A77665"/>
    <w:rsid w:val="00A81670"/>
    <w:rsid w:val="00A83FDA"/>
    <w:rsid w:val="00A844C1"/>
    <w:rsid w:val="00A85922"/>
    <w:rsid w:val="00A85E2D"/>
    <w:rsid w:val="00A86435"/>
    <w:rsid w:val="00A8728B"/>
    <w:rsid w:val="00A905EC"/>
    <w:rsid w:val="00A9377E"/>
    <w:rsid w:val="00A9423B"/>
    <w:rsid w:val="00A97F0D"/>
    <w:rsid w:val="00AA0C20"/>
    <w:rsid w:val="00AA1081"/>
    <w:rsid w:val="00AA1447"/>
    <w:rsid w:val="00AA162B"/>
    <w:rsid w:val="00AA2268"/>
    <w:rsid w:val="00AA242C"/>
    <w:rsid w:val="00AA2BF6"/>
    <w:rsid w:val="00AA4236"/>
    <w:rsid w:val="00AA4695"/>
    <w:rsid w:val="00AA5EF4"/>
    <w:rsid w:val="00AA66E8"/>
    <w:rsid w:val="00AB0E5D"/>
    <w:rsid w:val="00AB20B1"/>
    <w:rsid w:val="00AB22DE"/>
    <w:rsid w:val="00AB2C16"/>
    <w:rsid w:val="00AB3895"/>
    <w:rsid w:val="00AB39A7"/>
    <w:rsid w:val="00AB5124"/>
    <w:rsid w:val="00AB54C6"/>
    <w:rsid w:val="00AB5710"/>
    <w:rsid w:val="00AB5968"/>
    <w:rsid w:val="00AB5DA0"/>
    <w:rsid w:val="00AB5F45"/>
    <w:rsid w:val="00AB6835"/>
    <w:rsid w:val="00AB78E6"/>
    <w:rsid w:val="00AC0ADD"/>
    <w:rsid w:val="00AC50D1"/>
    <w:rsid w:val="00AC511E"/>
    <w:rsid w:val="00AC543D"/>
    <w:rsid w:val="00AC562C"/>
    <w:rsid w:val="00AC5F9D"/>
    <w:rsid w:val="00AC68E1"/>
    <w:rsid w:val="00AC79D6"/>
    <w:rsid w:val="00AD01A2"/>
    <w:rsid w:val="00AD06EA"/>
    <w:rsid w:val="00AD0A87"/>
    <w:rsid w:val="00AD2646"/>
    <w:rsid w:val="00AD2810"/>
    <w:rsid w:val="00AD294C"/>
    <w:rsid w:val="00AD2A40"/>
    <w:rsid w:val="00AD2C11"/>
    <w:rsid w:val="00AD2CA0"/>
    <w:rsid w:val="00AD32BF"/>
    <w:rsid w:val="00AD36E6"/>
    <w:rsid w:val="00AD3DEF"/>
    <w:rsid w:val="00AD405A"/>
    <w:rsid w:val="00AD5633"/>
    <w:rsid w:val="00AD5C92"/>
    <w:rsid w:val="00AD6F55"/>
    <w:rsid w:val="00AD77DD"/>
    <w:rsid w:val="00AE004A"/>
    <w:rsid w:val="00AE0160"/>
    <w:rsid w:val="00AE0ED4"/>
    <w:rsid w:val="00AE0F1E"/>
    <w:rsid w:val="00AE12B6"/>
    <w:rsid w:val="00AE1D99"/>
    <w:rsid w:val="00AE2499"/>
    <w:rsid w:val="00AE2C9D"/>
    <w:rsid w:val="00AE377D"/>
    <w:rsid w:val="00AE47EC"/>
    <w:rsid w:val="00AE581B"/>
    <w:rsid w:val="00AE6464"/>
    <w:rsid w:val="00AE7651"/>
    <w:rsid w:val="00AE772C"/>
    <w:rsid w:val="00AE7A2E"/>
    <w:rsid w:val="00AF15B9"/>
    <w:rsid w:val="00AF2977"/>
    <w:rsid w:val="00AF72E2"/>
    <w:rsid w:val="00AF735D"/>
    <w:rsid w:val="00B025D7"/>
    <w:rsid w:val="00B02CB1"/>
    <w:rsid w:val="00B03B3F"/>
    <w:rsid w:val="00B042DA"/>
    <w:rsid w:val="00B048D0"/>
    <w:rsid w:val="00B05912"/>
    <w:rsid w:val="00B059BA"/>
    <w:rsid w:val="00B07375"/>
    <w:rsid w:val="00B10436"/>
    <w:rsid w:val="00B111AB"/>
    <w:rsid w:val="00B11761"/>
    <w:rsid w:val="00B12010"/>
    <w:rsid w:val="00B1245F"/>
    <w:rsid w:val="00B1261A"/>
    <w:rsid w:val="00B128A3"/>
    <w:rsid w:val="00B135B2"/>
    <w:rsid w:val="00B13CDB"/>
    <w:rsid w:val="00B14D4D"/>
    <w:rsid w:val="00B16320"/>
    <w:rsid w:val="00B1651B"/>
    <w:rsid w:val="00B205D2"/>
    <w:rsid w:val="00B213AF"/>
    <w:rsid w:val="00B222D7"/>
    <w:rsid w:val="00B22C46"/>
    <w:rsid w:val="00B22EE4"/>
    <w:rsid w:val="00B23170"/>
    <w:rsid w:val="00B23ADC"/>
    <w:rsid w:val="00B24064"/>
    <w:rsid w:val="00B2679E"/>
    <w:rsid w:val="00B26860"/>
    <w:rsid w:val="00B270BC"/>
    <w:rsid w:val="00B321D3"/>
    <w:rsid w:val="00B3220B"/>
    <w:rsid w:val="00B32C6F"/>
    <w:rsid w:val="00B33422"/>
    <w:rsid w:val="00B355C8"/>
    <w:rsid w:val="00B358B7"/>
    <w:rsid w:val="00B35E42"/>
    <w:rsid w:val="00B37FA6"/>
    <w:rsid w:val="00B40613"/>
    <w:rsid w:val="00B40990"/>
    <w:rsid w:val="00B40D1C"/>
    <w:rsid w:val="00B410E4"/>
    <w:rsid w:val="00B415B2"/>
    <w:rsid w:val="00B421B3"/>
    <w:rsid w:val="00B42556"/>
    <w:rsid w:val="00B42911"/>
    <w:rsid w:val="00B429A9"/>
    <w:rsid w:val="00B42DCB"/>
    <w:rsid w:val="00B42FDD"/>
    <w:rsid w:val="00B43E40"/>
    <w:rsid w:val="00B447FA"/>
    <w:rsid w:val="00B45310"/>
    <w:rsid w:val="00B4613F"/>
    <w:rsid w:val="00B462AE"/>
    <w:rsid w:val="00B47466"/>
    <w:rsid w:val="00B47D9F"/>
    <w:rsid w:val="00B50133"/>
    <w:rsid w:val="00B5069F"/>
    <w:rsid w:val="00B50B75"/>
    <w:rsid w:val="00B51798"/>
    <w:rsid w:val="00B51B23"/>
    <w:rsid w:val="00B52B39"/>
    <w:rsid w:val="00B530C3"/>
    <w:rsid w:val="00B53C6A"/>
    <w:rsid w:val="00B5499A"/>
    <w:rsid w:val="00B54A6E"/>
    <w:rsid w:val="00B5580F"/>
    <w:rsid w:val="00B56543"/>
    <w:rsid w:val="00B5656D"/>
    <w:rsid w:val="00B570AF"/>
    <w:rsid w:val="00B578AF"/>
    <w:rsid w:val="00B57BAC"/>
    <w:rsid w:val="00B601D9"/>
    <w:rsid w:val="00B620B5"/>
    <w:rsid w:val="00B65BA9"/>
    <w:rsid w:val="00B660DE"/>
    <w:rsid w:val="00B6726A"/>
    <w:rsid w:val="00B701B6"/>
    <w:rsid w:val="00B7188E"/>
    <w:rsid w:val="00B720AF"/>
    <w:rsid w:val="00B7258A"/>
    <w:rsid w:val="00B726EB"/>
    <w:rsid w:val="00B7378A"/>
    <w:rsid w:val="00B744F8"/>
    <w:rsid w:val="00B75673"/>
    <w:rsid w:val="00B80707"/>
    <w:rsid w:val="00B814F4"/>
    <w:rsid w:val="00B81CA0"/>
    <w:rsid w:val="00B832B3"/>
    <w:rsid w:val="00B83E61"/>
    <w:rsid w:val="00B841BE"/>
    <w:rsid w:val="00B84B20"/>
    <w:rsid w:val="00B84E88"/>
    <w:rsid w:val="00B85380"/>
    <w:rsid w:val="00B861AA"/>
    <w:rsid w:val="00B86A3E"/>
    <w:rsid w:val="00B86BF3"/>
    <w:rsid w:val="00B87269"/>
    <w:rsid w:val="00B90115"/>
    <w:rsid w:val="00B920FA"/>
    <w:rsid w:val="00B92178"/>
    <w:rsid w:val="00B92EE0"/>
    <w:rsid w:val="00B9397C"/>
    <w:rsid w:val="00B93F9A"/>
    <w:rsid w:val="00B955D5"/>
    <w:rsid w:val="00B972CC"/>
    <w:rsid w:val="00BA1083"/>
    <w:rsid w:val="00BA1FFF"/>
    <w:rsid w:val="00BA2264"/>
    <w:rsid w:val="00BA2317"/>
    <w:rsid w:val="00BA36C0"/>
    <w:rsid w:val="00BA3CD6"/>
    <w:rsid w:val="00BA4468"/>
    <w:rsid w:val="00BA4C9E"/>
    <w:rsid w:val="00BA4E56"/>
    <w:rsid w:val="00BA523D"/>
    <w:rsid w:val="00BA5F92"/>
    <w:rsid w:val="00BA6271"/>
    <w:rsid w:val="00BA715C"/>
    <w:rsid w:val="00BB31AC"/>
    <w:rsid w:val="00BB357D"/>
    <w:rsid w:val="00BB3EA7"/>
    <w:rsid w:val="00BB5E61"/>
    <w:rsid w:val="00BB701B"/>
    <w:rsid w:val="00BB720F"/>
    <w:rsid w:val="00BB7A7E"/>
    <w:rsid w:val="00BC1996"/>
    <w:rsid w:val="00BC34F1"/>
    <w:rsid w:val="00BC4228"/>
    <w:rsid w:val="00BC5417"/>
    <w:rsid w:val="00BC5821"/>
    <w:rsid w:val="00BC5AC7"/>
    <w:rsid w:val="00BC6B61"/>
    <w:rsid w:val="00BC70E7"/>
    <w:rsid w:val="00BD024B"/>
    <w:rsid w:val="00BD11F7"/>
    <w:rsid w:val="00BD2A27"/>
    <w:rsid w:val="00BD30A3"/>
    <w:rsid w:val="00BD3E31"/>
    <w:rsid w:val="00BD53DE"/>
    <w:rsid w:val="00BD7CEC"/>
    <w:rsid w:val="00BE06EE"/>
    <w:rsid w:val="00BE1040"/>
    <w:rsid w:val="00BE106E"/>
    <w:rsid w:val="00BE441D"/>
    <w:rsid w:val="00BE666C"/>
    <w:rsid w:val="00BE6DA7"/>
    <w:rsid w:val="00BE70EF"/>
    <w:rsid w:val="00BF04C5"/>
    <w:rsid w:val="00BF0A09"/>
    <w:rsid w:val="00BF0AF9"/>
    <w:rsid w:val="00BF1B4B"/>
    <w:rsid w:val="00BF23D0"/>
    <w:rsid w:val="00BF2D5C"/>
    <w:rsid w:val="00BF35F5"/>
    <w:rsid w:val="00BF4013"/>
    <w:rsid w:val="00BF44C9"/>
    <w:rsid w:val="00BF58F8"/>
    <w:rsid w:val="00BF5931"/>
    <w:rsid w:val="00BF61C9"/>
    <w:rsid w:val="00C00C6A"/>
    <w:rsid w:val="00C00EC4"/>
    <w:rsid w:val="00C01783"/>
    <w:rsid w:val="00C052A5"/>
    <w:rsid w:val="00C05327"/>
    <w:rsid w:val="00C06371"/>
    <w:rsid w:val="00C06A8A"/>
    <w:rsid w:val="00C07C48"/>
    <w:rsid w:val="00C1088A"/>
    <w:rsid w:val="00C10AC6"/>
    <w:rsid w:val="00C11311"/>
    <w:rsid w:val="00C114BF"/>
    <w:rsid w:val="00C11617"/>
    <w:rsid w:val="00C11D20"/>
    <w:rsid w:val="00C124A0"/>
    <w:rsid w:val="00C12589"/>
    <w:rsid w:val="00C14262"/>
    <w:rsid w:val="00C167E1"/>
    <w:rsid w:val="00C17686"/>
    <w:rsid w:val="00C20196"/>
    <w:rsid w:val="00C205CE"/>
    <w:rsid w:val="00C20AC7"/>
    <w:rsid w:val="00C20DD2"/>
    <w:rsid w:val="00C20FF2"/>
    <w:rsid w:val="00C21430"/>
    <w:rsid w:val="00C222BE"/>
    <w:rsid w:val="00C25CF4"/>
    <w:rsid w:val="00C26BC7"/>
    <w:rsid w:val="00C27D1B"/>
    <w:rsid w:val="00C302AF"/>
    <w:rsid w:val="00C302DE"/>
    <w:rsid w:val="00C3107D"/>
    <w:rsid w:val="00C31363"/>
    <w:rsid w:val="00C3140F"/>
    <w:rsid w:val="00C31FD3"/>
    <w:rsid w:val="00C32B24"/>
    <w:rsid w:val="00C32B2F"/>
    <w:rsid w:val="00C346B5"/>
    <w:rsid w:val="00C36224"/>
    <w:rsid w:val="00C3749B"/>
    <w:rsid w:val="00C377D2"/>
    <w:rsid w:val="00C37856"/>
    <w:rsid w:val="00C40041"/>
    <w:rsid w:val="00C403B0"/>
    <w:rsid w:val="00C40669"/>
    <w:rsid w:val="00C43658"/>
    <w:rsid w:val="00C43EA6"/>
    <w:rsid w:val="00C43F63"/>
    <w:rsid w:val="00C44975"/>
    <w:rsid w:val="00C473E8"/>
    <w:rsid w:val="00C474CE"/>
    <w:rsid w:val="00C47FBD"/>
    <w:rsid w:val="00C505A8"/>
    <w:rsid w:val="00C50A92"/>
    <w:rsid w:val="00C50AC8"/>
    <w:rsid w:val="00C50BBA"/>
    <w:rsid w:val="00C50F51"/>
    <w:rsid w:val="00C51013"/>
    <w:rsid w:val="00C51515"/>
    <w:rsid w:val="00C5156A"/>
    <w:rsid w:val="00C51CDD"/>
    <w:rsid w:val="00C51E1F"/>
    <w:rsid w:val="00C52446"/>
    <w:rsid w:val="00C52FC4"/>
    <w:rsid w:val="00C53117"/>
    <w:rsid w:val="00C54377"/>
    <w:rsid w:val="00C5553B"/>
    <w:rsid w:val="00C56395"/>
    <w:rsid w:val="00C56DF3"/>
    <w:rsid w:val="00C5711C"/>
    <w:rsid w:val="00C5712C"/>
    <w:rsid w:val="00C5722E"/>
    <w:rsid w:val="00C5754F"/>
    <w:rsid w:val="00C601DF"/>
    <w:rsid w:val="00C60DA1"/>
    <w:rsid w:val="00C61BF3"/>
    <w:rsid w:val="00C63105"/>
    <w:rsid w:val="00C6334C"/>
    <w:rsid w:val="00C65BDF"/>
    <w:rsid w:val="00C6669B"/>
    <w:rsid w:val="00C6727D"/>
    <w:rsid w:val="00C6791F"/>
    <w:rsid w:val="00C679B0"/>
    <w:rsid w:val="00C67B88"/>
    <w:rsid w:val="00C7048D"/>
    <w:rsid w:val="00C709F6"/>
    <w:rsid w:val="00C71553"/>
    <w:rsid w:val="00C74921"/>
    <w:rsid w:val="00C75A55"/>
    <w:rsid w:val="00C77BEB"/>
    <w:rsid w:val="00C80F0F"/>
    <w:rsid w:val="00C8129E"/>
    <w:rsid w:val="00C8144F"/>
    <w:rsid w:val="00C81C07"/>
    <w:rsid w:val="00C84582"/>
    <w:rsid w:val="00C84DD4"/>
    <w:rsid w:val="00C8575D"/>
    <w:rsid w:val="00C85989"/>
    <w:rsid w:val="00C85A1A"/>
    <w:rsid w:val="00C85BD2"/>
    <w:rsid w:val="00C87416"/>
    <w:rsid w:val="00C87992"/>
    <w:rsid w:val="00C90A32"/>
    <w:rsid w:val="00C92803"/>
    <w:rsid w:val="00C9362F"/>
    <w:rsid w:val="00C9377D"/>
    <w:rsid w:val="00C93D23"/>
    <w:rsid w:val="00C94AC1"/>
    <w:rsid w:val="00C94F23"/>
    <w:rsid w:val="00C95A49"/>
    <w:rsid w:val="00C95F62"/>
    <w:rsid w:val="00C96312"/>
    <w:rsid w:val="00C96CF1"/>
    <w:rsid w:val="00C96EA5"/>
    <w:rsid w:val="00C97406"/>
    <w:rsid w:val="00C979BC"/>
    <w:rsid w:val="00CA0401"/>
    <w:rsid w:val="00CA0565"/>
    <w:rsid w:val="00CA06A2"/>
    <w:rsid w:val="00CA08B4"/>
    <w:rsid w:val="00CA0BC7"/>
    <w:rsid w:val="00CA0ECD"/>
    <w:rsid w:val="00CA1409"/>
    <w:rsid w:val="00CA1423"/>
    <w:rsid w:val="00CA167C"/>
    <w:rsid w:val="00CA329B"/>
    <w:rsid w:val="00CA33AC"/>
    <w:rsid w:val="00CA4173"/>
    <w:rsid w:val="00CA5989"/>
    <w:rsid w:val="00CA59B8"/>
    <w:rsid w:val="00CA64A7"/>
    <w:rsid w:val="00CA6AAB"/>
    <w:rsid w:val="00CA6F08"/>
    <w:rsid w:val="00CA7E83"/>
    <w:rsid w:val="00CB0702"/>
    <w:rsid w:val="00CB0F76"/>
    <w:rsid w:val="00CB12A5"/>
    <w:rsid w:val="00CB1ABB"/>
    <w:rsid w:val="00CB2A50"/>
    <w:rsid w:val="00CB3BE0"/>
    <w:rsid w:val="00CB6CB6"/>
    <w:rsid w:val="00CB7DD4"/>
    <w:rsid w:val="00CC094C"/>
    <w:rsid w:val="00CC0CE7"/>
    <w:rsid w:val="00CC108B"/>
    <w:rsid w:val="00CC111D"/>
    <w:rsid w:val="00CC1A1F"/>
    <w:rsid w:val="00CC1FD4"/>
    <w:rsid w:val="00CC2F2A"/>
    <w:rsid w:val="00CC3D5F"/>
    <w:rsid w:val="00CC6242"/>
    <w:rsid w:val="00CC6AB9"/>
    <w:rsid w:val="00CC6CA4"/>
    <w:rsid w:val="00CC7951"/>
    <w:rsid w:val="00CD0AF8"/>
    <w:rsid w:val="00CD0D61"/>
    <w:rsid w:val="00CD10F0"/>
    <w:rsid w:val="00CD1154"/>
    <w:rsid w:val="00CD236F"/>
    <w:rsid w:val="00CD2EF2"/>
    <w:rsid w:val="00CD30D2"/>
    <w:rsid w:val="00CD3574"/>
    <w:rsid w:val="00CD396C"/>
    <w:rsid w:val="00CD4AD4"/>
    <w:rsid w:val="00CD6C0F"/>
    <w:rsid w:val="00CD7032"/>
    <w:rsid w:val="00CD7E0C"/>
    <w:rsid w:val="00CE1225"/>
    <w:rsid w:val="00CE18FB"/>
    <w:rsid w:val="00CE2BC7"/>
    <w:rsid w:val="00CE52B4"/>
    <w:rsid w:val="00CE560D"/>
    <w:rsid w:val="00CE5858"/>
    <w:rsid w:val="00CE671B"/>
    <w:rsid w:val="00CE68E2"/>
    <w:rsid w:val="00CE74CF"/>
    <w:rsid w:val="00CF1BF7"/>
    <w:rsid w:val="00CF25AC"/>
    <w:rsid w:val="00CF272F"/>
    <w:rsid w:val="00CF53C9"/>
    <w:rsid w:val="00CF5773"/>
    <w:rsid w:val="00CF5D59"/>
    <w:rsid w:val="00CF6F27"/>
    <w:rsid w:val="00CF726D"/>
    <w:rsid w:val="00CF7EF1"/>
    <w:rsid w:val="00D00025"/>
    <w:rsid w:val="00D000F6"/>
    <w:rsid w:val="00D00C16"/>
    <w:rsid w:val="00D019A2"/>
    <w:rsid w:val="00D02466"/>
    <w:rsid w:val="00D02A62"/>
    <w:rsid w:val="00D03851"/>
    <w:rsid w:val="00D039E0"/>
    <w:rsid w:val="00D04BC9"/>
    <w:rsid w:val="00D0534E"/>
    <w:rsid w:val="00D05460"/>
    <w:rsid w:val="00D05508"/>
    <w:rsid w:val="00D06A3F"/>
    <w:rsid w:val="00D07723"/>
    <w:rsid w:val="00D07FA7"/>
    <w:rsid w:val="00D1053D"/>
    <w:rsid w:val="00D10980"/>
    <w:rsid w:val="00D10E9A"/>
    <w:rsid w:val="00D10ED2"/>
    <w:rsid w:val="00D12B73"/>
    <w:rsid w:val="00D1379D"/>
    <w:rsid w:val="00D14511"/>
    <w:rsid w:val="00D1454F"/>
    <w:rsid w:val="00D151D5"/>
    <w:rsid w:val="00D156A9"/>
    <w:rsid w:val="00D15E90"/>
    <w:rsid w:val="00D166A1"/>
    <w:rsid w:val="00D17314"/>
    <w:rsid w:val="00D17938"/>
    <w:rsid w:val="00D17CED"/>
    <w:rsid w:val="00D216BE"/>
    <w:rsid w:val="00D222DE"/>
    <w:rsid w:val="00D22AE1"/>
    <w:rsid w:val="00D22C23"/>
    <w:rsid w:val="00D2428D"/>
    <w:rsid w:val="00D2441B"/>
    <w:rsid w:val="00D2640A"/>
    <w:rsid w:val="00D27BB6"/>
    <w:rsid w:val="00D30ECA"/>
    <w:rsid w:val="00D32546"/>
    <w:rsid w:val="00D32642"/>
    <w:rsid w:val="00D33E06"/>
    <w:rsid w:val="00D33E3D"/>
    <w:rsid w:val="00D344E9"/>
    <w:rsid w:val="00D34CA8"/>
    <w:rsid w:val="00D34CBF"/>
    <w:rsid w:val="00D37001"/>
    <w:rsid w:val="00D37366"/>
    <w:rsid w:val="00D37ACC"/>
    <w:rsid w:val="00D40C1F"/>
    <w:rsid w:val="00D4176A"/>
    <w:rsid w:val="00D421FE"/>
    <w:rsid w:val="00D42B12"/>
    <w:rsid w:val="00D44583"/>
    <w:rsid w:val="00D44785"/>
    <w:rsid w:val="00D44FB4"/>
    <w:rsid w:val="00D4710F"/>
    <w:rsid w:val="00D5117C"/>
    <w:rsid w:val="00D51F71"/>
    <w:rsid w:val="00D52AA3"/>
    <w:rsid w:val="00D5369C"/>
    <w:rsid w:val="00D541D1"/>
    <w:rsid w:val="00D56643"/>
    <w:rsid w:val="00D57D1F"/>
    <w:rsid w:val="00D60B20"/>
    <w:rsid w:val="00D6155A"/>
    <w:rsid w:val="00D621E9"/>
    <w:rsid w:val="00D62534"/>
    <w:rsid w:val="00D62D08"/>
    <w:rsid w:val="00D63589"/>
    <w:rsid w:val="00D63AED"/>
    <w:rsid w:val="00D64CD1"/>
    <w:rsid w:val="00D65F9B"/>
    <w:rsid w:val="00D66140"/>
    <w:rsid w:val="00D71888"/>
    <w:rsid w:val="00D7261F"/>
    <w:rsid w:val="00D72893"/>
    <w:rsid w:val="00D73528"/>
    <w:rsid w:val="00D74891"/>
    <w:rsid w:val="00D76F5F"/>
    <w:rsid w:val="00D77294"/>
    <w:rsid w:val="00D776BC"/>
    <w:rsid w:val="00D80004"/>
    <w:rsid w:val="00D80D00"/>
    <w:rsid w:val="00D81143"/>
    <w:rsid w:val="00D818B0"/>
    <w:rsid w:val="00D83182"/>
    <w:rsid w:val="00D853ED"/>
    <w:rsid w:val="00D900A6"/>
    <w:rsid w:val="00D908E5"/>
    <w:rsid w:val="00D91B1C"/>
    <w:rsid w:val="00D92C65"/>
    <w:rsid w:val="00D92CA6"/>
    <w:rsid w:val="00D932B3"/>
    <w:rsid w:val="00D96FFF"/>
    <w:rsid w:val="00D9710B"/>
    <w:rsid w:val="00DA0303"/>
    <w:rsid w:val="00DA0324"/>
    <w:rsid w:val="00DA1B77"/>
    <w:rsid w:val="00DA3B15"/>
    <w:rsid w:val="00DA4F66"/>
    <w:rsid w:val="00DA4FFF"/>
    <w:rsid w:val="00DA56DC"/>
    <w:rsid w:val="00DA6390"/>
    <w:rsid w:val="00DA675A"/>
    <w:rsid w:val="00DA6C4D"/>
    <w:rsid w:val="00DB0F20"/>
    <w:rsid w:val="00DB2165"/>
    <w:rsid w:val="00DB2184"/>
    <w:rsid w:val="00DB230E"/>
    <w:rsid w:val="00DB2893"/>
    <w:rsid w:val="00DB2A78"/>
    <w:rsid w:val="00DB2E69"/>
    <w:rsid w:val="00DB6707"/>
    <w:rsid w:val="00DB724E"/>
    <w:rsid w:val="00DC0BA6"/>
    <w:rsid w:val="00DC0EB4"/>
    <w:rsid w:val="00DC16DD"/>
    <w:rsid w:val="00DC1B21"/>
    <w:rsid w:val="00DC2F44"/>
    <w:rsid w:val="00DC3332"/>
    <w:rsid w:val="00DC4504"/>
    <w:rsid w:val="00DC4E45"/>
    <w:rsid w:val="00DC5F05"/>
    <w:rsid w:val="00DC6A7E"/>
    <w:rsid w:val="00DC7C69"/>
    <w:rsid w:val="00DC7C8B"/>
    <w:rsid w:val="00DC7D5E"/>
    <w:rsid w:val="00DC7F04"/>
    <w:rsid w:val="00DC7F13"/>
    <w:rsid w:val="00DD02BA"/>
    <w:rsid w:val="00DD0E5B"/>
    <w:rsid w:val="00DD0EBC"/>
    <w:rsid w:val="00DD153E"/>
    <w:rsid w:val="00DD1B9B"/>
    <w:rsid w:val="00DD2084"/>
    <w:rsid w:val="00DD2B54"/>
    <w:rsid w:val="00DD4238"/>
    <w:rsid w:val="00DD5BCE"/>
    <w:rsid w:val="00DD691A"/>
    <w:rsid w:val="00DE0466"/>
    <w:rsid w:val="00DE0485"/>
    <w:rsid w:val="00DE10C5"/>
    <w:rsid w:val="00DE1961"/>
    <w:rsid w:val="00DE1996"/>
    <w:rsid w:val="00DE230E"/>
    <w:rsid w:val="00DE3FFA"/>
    <w:rsid w:val="00DE4762"/>
    <w:rsid w:val="00DE4EFA"/>
    <w:rsid w:val="00DE5958"/>
    <w:rsid w:val="00DE7161"/>
    <w:rsid w:val="00DF018A"/>
    <w:rsid w:val="00DF1B34"/>
    <w:rsid w:val="00DF349C"/>
    <w:rsid w:val="00DF49CF"/>
    <w:rsid w:val="00DF53EE"/>
    <w:rsid w:val="00DF62D6"/>
    <w:rsid w:val="00DF69B1"/>
    <w:rsid w:val="00DF7783"/>
    <w:rsid w:val="00E0131C"/>
    <w:rsid w:val="00E01DA4"/>
    <w:rsid w:val="00E031C5"/>
    <w:rsid w:val="00E03636"/>
    <w:rsid w:val="00E03D08"/>
    <w:rsid w:val="00E03D94"/>
    <w:rsid w:val="00E0435B"/>
    <w:rsid w:val="00E05779"/>
    <w:rsid w:val="00E058D7"/>
    <w:rsid w:val="00E0646E"/>
    <w:rsid w:val="00E105D8"/>
    <w:rsid w:val="00E11803"/>
    <w:rsid w:val="00E12765"/>
    <w:rsid w:val="00E1281A"/>
    <w:rsid w:val="00E1302D"/>
    <w:rsid w:val="00E14057"/>
    <w:rsid w:val="00E14454"/>
    <w:rsid w:val="00E14616"/>
    <w:rsid w:val="00E15913"/>
    <w:rsid w:val="00E1600D"/>
    <w:rsid w:val="00E16979"/>
    <w:rsid w:val="00E21AC0"/>
    <w:rsid w:val="00E23C80"/>
    <w:rsid w:val="00E24942"/>
    <w:rsid w:val="00E252BC"/>
    <w:rsid w:val="00E253A5"/>
    <w:rsid w:val="00E25A3B"/>
    <w:rsid w:val="00E26FF3"/>
    <w:rsid w:val="00E30644"/>
    <w:rsid w:val="00E32E1A"/>
    <w:rsid w:val="00E32EC6"/>
    <w:rsid w:val="00E32F76"/>
    <w:rsid w:val="00E330D0"/>
    <w:rsid w:val="00E3416B"/>
    <w:rsid w:val="00E341D1"/>
    <w:rsid w:val="00E34D8A"/>
    <w:rsid w:val="00E359C0"/>
    <w:rsid w:val="00E36009"/>
    <w:rsid w:val="00E36A81"/>
    <w:rsid w:val="00E36D3D"/>
    <w:rsid w:val="00E3740B"/>
    <w:rsid w:val="00E37D4E"/>
    <w:rsid w:val="00E40489"/>
    <w:rsid w:val="00E410BB"/>
    <w:rsid w:val="00E410D3"/>
    <w:rsid w:val="00E413CE"/>
    <w:rsid w:val="00E41A5F"/>
    <w:rsid w:val="00E426FD"/>
    <w:rsid w:val="00E43A8B"/>
    <w:rsid w:val="00E441CD"/>
    <w:rsid w:val="00E44986"/>
    <w:rsid w:val="00E44EDC"/>
    <w:rsid w:val="00E44FF8"/>
    <w:rsid w:val="00E45149"/>
    <w:rsid w:val="00E452A3"/>
    <w:rsid w:val="00E45833"/>
    <w:rsid w:val="00E45BD2"/>
    <w:rsid w:val="00E460F1"/>
    <w:rsid w:val="00E4633A"/>
    <w:rsid w:val="00E479E7"/>
    <w:rsid w:val="00E47CE8"/>
    <w:rsid w:val="00E50968"/>
    <w:rsid w:val="00E50F90"/>
    <w:rsid w:val="00E51B37"/>
    <w:rsid w:val="00E528E0"/>
    <w:rsid w:val="00E52D0A"/>
    <w:rsid w:val="00E53057"/>
    <w:rsid w:val="00E5495C"/>
    <w:rsid w:val="00E554B8"/>
    <w:rsid w:val="00E5671A"/>
    <w:rsid w:val="00E56DA4"/>
    <w:rsid w:val="00E61143"/>
    <w:rsid w:val="00E6183E"/>
    <w:rsid w:val="00E61A02"/>
    <w:rsid w:val="00E61DD3"/>
    <w:rsid w:val="00E61F74"/>
    <w:rsid w:val="00E62E51"/>
    <w:rsid w:val="00E63371"/>
    <w:rsid w:val="00E634EC"/>
    <w:rsid w:val="00E637F5"/>
    <w:rsid w:val="00E65B4F"/>
    <w:rsid w:val="00E66421"/>
    <w:rsid w:val="00E6700B"/>
    <w:rsid w:val="00E67039"/>
    <w:rsid w:val="00E70C0F"/>
    <w:rsid w:val="00E70C5C"/>
    <w:rsid w:val="00E73093"/>
    <w:rsid w:val="00E733DC"/>
    <w:rsid w:val="00E73C7E"/>
    <w:rsid w:val="00E743A8"/>
    <w:rsid w:val="00E82049"/>
    <w:rsid w:val="00E829B0"/>
    <w:rsid w:val="00E835C2"/>
    <w:rsid w:val="00E84800"/>
    <w:rsid w:val="00E85661"/>
    <w:rsid w:val="00E8567B"/>
    <w:rsid w:val="00E85EC7"/>
    <w:rsid w:val="00E864A7"/>
    <w:rsid w:val="00E8652C"/>
    <w:rsid w:val="00E86AF4"/>
    <w:rsid w:val="00E86BA5"/>
    <w:rsid w:val="00E86D42"/>
    <w:rsid w:val="00E9009F"/>
    <w:rsid w:val="00E903D3"/>
    <w:rsid w:val="00E93002"/>
    <w:rsid w:val="00E93EC4"/>
    <w:rsid w:val="00E95298"/>
    <w:rsid w:val="00E96B6C"/>
    <w:rsid w:val="00E97061"/>
    <w:rsid w:val="00E9790A"/>
    <w:rsid w:val="00E9799F"/>
    <w:rsid w:val="00EA00EC"/>
    <w:rsid w:val="00EA2DAA"/>
    <w:rsid w:val="00EA31A8"/>
    <w:rsid w:val="00EA5AB0"/>
    <w:rsid w:val="00EA6DC7"/>
    <w:rsid w:val="00EA76B0"/>
    <w:rsid w:val="00EA7F03"/>
    <w:rsid w:val="00EB0875"/>
    <w:rsid w:val="00EB0AF6"/>
    <w:rsid w:val="00EB0B21"/>
    <w:rsid w:val="00EB1075"/>
    <w:rsid w:val="00EB13BD"/>
    <w:rsid w:val="00EB3E1D"/>
    <w:rsid w:val="00EB4215"/>
    <w:rsid w:val="00EB4647"/>
    <w:rsid w:val="00EB4A1E"/>
    <w:rsid w:val="00EB4E49"/>
    <w:rsid w:val="00EB6045"/>
    <w:rsid w:val="00EB62F8"/>
    <w:rsid w:val="00EB67EE"/>
    <w:rsid w:val="00EB6D9C"/>
    <w:rsid w:val="00EC1136"/>
    <w:rsid w:val="00EC14C8"/>
    <w:rsid w:val="00EC2F03"/>
    <w:rsid w:val="00EC40A8"/>
    <w:rsid w:val="00EC46B6"/>
    <w:rsid w:val="00EC610B"/>
    <w:rsid w:val="00EC7A51"/>
    <w:rsid w:val="00EC7BD6"/>
    <w:rsid w:val="00EC84AD"/>
    <w:rsid w:val="00ED013B"/>
    <w:rsid w:val="00ED0D1D"/>
    <w:rsid w:val="00ED10B8"/>
    <w:rsid w:val="00ED1C0D"/>
    <w:rsid w:val="00ED2889"/>
    <w:rsid w:val="00ED2A95"/>
    <w:rsid w:val="00ED35E7"/>
    <w:rsid w:val="00ED55D5"/>
    <w:rsid w:val="00ED5778"/>
    <w:rsid w:val="00ED5AE7"/>
    <w:rsid w:val="00ED60A2"/>
    <w:rsid w:val="00ED6389"/>
    <w:rsid w:val="00ED6DC1"/>
    <w:rsid w:val="00ED7B6A"/>
    <w:rsid w:val="00EE1BF8"/>
    <w:rsid w:val="00EE2FC7"/>
    <w:rsid w:val="00EE3285"/>
    <w:rsid w:val="00EE34C1"/>
    <w:rsid w:val="00EE438A"/>
    <w:rsid w:val="00EE4A7D"/>
    <w:rsid w:val="00EE585C"/>
    <w:rsid w:val="00EE79A0"/>
    <w:rsid w:val="00EF0850"/>
    <w:rsid w:val="00EF1F58"/>
    <w:rsid w:val="00EF3BCC"/>
    <w:rsid w:val="00EF3D41"/>
    <w:rsid w:val="00EF41A1"/>
    <w:rsid w:val="00EF4391"/>
    <w:rsid w:val="00EF4AA7"/>
    <w:rsid w:val="00EF57B6"/>
    <w:rsid w:val="00EF5D12"/>
    <w:rsid w:val="00EF5F37"/>
    <w:rsid w:val="00EF609D"/>
    <w:rsid w:val="00EF623E"/>
    <w:rsid w:val="00EF6E11"/>
    <w:rsid w:val="00EF7464"/>
    <w:rsid w:val="00EF7EA6"/>
    <w:rsid w:val="00F004C0"/>
    <w:rsid w:val="00F00B4E"/>
    <w:rsid w:val="00F00EEB"/>
    <w:rsid w:val="00F010DE"/>
    <w:rsid w:val="00F01CEA"/>
    <w:rsid w:val="00F01EF2"/>
    <w:rsid w:val="00F02257"/>
    <w:rsid w:val="00F02709"/>
    <w:rsid w:val="00F02B5E"/>
    <w:rsid w:val="00F038F4"/>
    <w:rsid w:val="00F03AF0"/>
    <w:rsid w:val="00F03D40"/>
    <w:rsid w:val="00F04244"/>
    <w:rsid w:val="00F044E5"/>
    <w:rsid w:val="00F04C98"/>
    <w:rsid w:val="00F051AF"/>
    <w:rsid w:val="00F0555B"/>
    <w:rsid w:val="00F06637"/>
    <w:rsid w:val="00F06F52"/>
    <w:rsid w:val="00F076D6"/>
    <w:rsid w:val="00F12528"/>
    <w:rsid w:val="00F126D3"/>
    <w:rsid w:val="00F12798"/>
    <w:rsid w:val="00F13213"/>
    <w:rsid w:val="00F143A5"/>
    <w:rsid w:val="00F14C05"/>
    <w:rsid w:val="00F157A1"/>
    <w:rsid w:val="00F16257"/>
    <w:rsid w:val="00F164A5"/>
    <w:rsid w:val="00F168BD"/>
    <w:rsid w:val="00F17A5A"/>
    <w:rsid w:val="00F17BD8"/>
    <w:rsid w:val="00F17FC8"/>
    <w:rsid w:val="00F20C03"/>
    <w:rsid w:val="00F225E7"/>
    <w:rsid w:val="00F22954"/>
    <w:rsid w:val="00F23F9E"/>
    <w:rsid w:val="00F24601"/>
    <w:rsid w:val="00F24CD0"/>
    <w:rsid w:val="00F24E1F"/>
    <w:rsid w:val="00F251D9"/>
    <w:rsid w:val="00F251EC"/>
    <w:rsid w:val="00F26074"/>
    <w:rsid w:val="00F26BF7"/>
    <w:rsid w:val="00F27D09"/>
    <w:rsid w:val="00F27E3F"/>
    <w:rsid w:val="00F30223"/>
    <w:rsid w:val="00F3058B"/>
    <w:rsid w:val="00F315C1"/>
    <w:rsid w:val="00F32915"/>
    <w:rsid w:val="00F33DE4"/>
    <w:rsid w:val="00F34B68"/>
    <w:rsid w:val="00F3513D"/>
    <w:rsid w:val="00F401D2"/>
    <w:rsid w:val="00F404E8"/>
    <w:rsid w:val="00F41175"/>
    <w:rsid w:val="00F4137E"/>
    <w:rsid w:val="00F4216D"/>
    <w:rsid w:val="00F42D45"/>
    <w:rsid w:val="00F43B42"/>
    <w:rsid w:val="00F445FB"/>
    <w:rsid w:val="00F448AA"/>
    <w:rsid w:val="00F464C2"/>
    <w:rsid w:val="00F469A9"/>
    <w:rsid w:val="00F46D8F"/>
    <w:rsid w:val="00F47080"/>
    <w:rsid w:val="00F5084B"/>
    <w:rsid w:val="00F50BE0"/>
    <w:rsid w:val="00F51342"/>
    <w:rsid w:val="00F51E11"/>
    <w:rsid w:val="00F51E87"/>
    <w:rsid w:val="00F52AF3"/>
    <w:rsid w:val="00F52E2A"/>
    <w:rsid w:val="00F53A7C"/>
    <w:rsid w:val="00F552AD"/>
    <w:rsid w:val="00F55C2D"/>
    <w:rsid w:val="00F567E4"/>
    <w:rsid w:val="00F56843"/>
    <w:rsid w:val="00F5714C"/>
    <w:rsid w:val="00F576DA"/>
    <w:rsid w:val="00F57BB6"/>
    <w:rsid w:val="00F61289"/>
    <w:rsid w:val="00F614C2"/>
    <w:rsid w:val="00F62AD8"/>
    <w:rsid w:val="00F63317"/>
    <w:rsid w:val="00F640BD"/>
    <w:rsid w:val="00F646A6"/>
    <w:rsid w:val="00F65580"/>
    <w:rsid w:val="00F65B0D"/>
    <w:rsid w:val="00F666BF"/>
    <w:rsid w:val="00F67282"/>
    <w:rsid w:val="00F67BAD"/>
    <w:rsid w:val="00F702D4"/>
    <w:rsid w:val="00F714A7"/>
    <w:rsid w:val="00F71ACA"/>
    <w:rsid w:val="00F7260E"/>
    <w:rsid w:val="00F734D0"/>
    <w:rsid w:val="00F73B61"/>
    <w:rsid w:val="00F75290"/>
    <w:rsid w:val="00F7656A"/>
    <w:rsid w:val="00F77129"/>
    <w:rsid w:val="00F771A2"/>
    <w:rsid w:val="00F77581"/>
    <w:rsid w:val="00F80784"/>
    <w:rsid w:val="00F82AA3"/>
    <w:rsid w:val="00F82EFB"/>
    <w:rsid w:val="00F836C4"/>
    <w:rsid w:val="00F843D3"/>
    <w:rsid w:val="00F84637"/>
    <w:rsid w:val="00F84AEF"/>
    <w:rsid w:val="00F86E69"/>
    <w:rsid w:val="00F879F6"/>
    <w:rsid w:val="00F87AEB"/>
    <w:rsid w:val="00F87D58"/>
    <w:rsid w:val="00F906DF"/>
    <w:rsid w:val="00F90FCC"/>
    <w:rsid w:val="00F92940"/>
    <w:rsid w:val="00F92BDD"/>
    <w:rsid w:val="00F94B75"/>
    <w:rsid w:val="00F9561C"/>
    <w:rsid w:val="00F958F7"/>
    <w:rsid w:val="00F977FC"/>
    <w:rsid w:val="00FA17AE"/>
    <w:rsid w:val="00FA21DA"/>
    <w:rsid w:val="00FA2639"/>
    <w:rsid w:val="00FA2AB5"/>
    <w:rsid w:val="00FA2D62"/>
    <w:rsid w:val="00FA2E54"/>
    <w:rsid w:val="00FA547D"/>
    <w:rsid w:val="00FA62B9"/>
    <w:rsid w:val="00FA6701"/>
    <w:rsid w:val="00FB06E5"/>
    <w:rsid w:val="00FB0AE1"/>
    <w:rsid w:val="00FB1691"/>
    <w:rsid w:val="00FB1AF8"/>
    <w:rsid w:val="00FB2596"/>
    <w:rsid w:val="00FB563A"/>
    <w:rsid w:val="00FB5C34"/>
    <w:rsid w:val="00FB60F6"/>
    <w:rsid w:val="00FB7060"/>
    <w:rsid w:val="00FB7970"/>
    <w:rsid w:val="00FB7FEF"/>
    <w:rsid w:val="00FC0096"/>
    <w:rsid w:val="00FC097E"/>
    <w:rsid w:val="00FC0DD5"/>
    <w:rsid w:val="00FC20CD"/>
    <w:rsid w:val="00FC2384"/>
    <w:rsid w:val="00FC4091"/>
    <w:rsid w:val="00FC5BAC"/>
    <w:rsid w:val="00FD0B4D"/>
    <w:rsid w:val="00FD1552"/>
    <w:rsid w:val="00FD1589"/>
    <w:rsid w:val="00FD3119"/>
    <w:rsid w:val="00FD43D9"/>
    <w:rsid w:val="00FD4F69"/>
    <w:rsid w:val="00FD599F"/>
    <w:rsid w:val="00FD6546"/>
    <w:rsid w:val="00FD79F9"/>
    <w:rsid w:val="00FE0218"/>
    <w:rsid w:val="00FE0469"/>
    <w:rsid w:val="00FE1F97"/>
    <w:rsid w:val="00FE2D36"/>
    <w:rsid w:val="00FE43C6"/>
    <w:rsid w:val="00FE467B"/>
    <w:rsid w:val="00FE47AE"/>
    <w:rsid w:val="00FE573D"/>
    <w:rsid w:val="00FE6FB2"/>
    <w:rsid w:val="00FE7571"/>
    <w:rsid w:val="00FE78C6"/>
    <w:rsid w:val="00FF026A"/>
    <w:rsid w:val="00FF05B6"/>
    <w:rsid w:val="00FF0A25"/>
    <w:rsid w:val="00FF0D30"/>
    <w:rsid w:val="00FF183F"/>
    <w:rsid w:val="00FF1ADF"/>
    <w:rsid w:val="00FF2A0F"/>
    <w:rsid w:val="00FF3FA6"/>
    <w:rsid w:val="0107BF08"/>
    <w:rsid w:val="01142B36"/>
    <w:rsid w:val="01236453"/>
    <w:rsid w:val="0124A421"/>
    <w:rsid w:val="014CE140"/>
    <w:rsid w:val="0236DB7E"/>
    <w:rsid w:val="0286CD99"/>
    <w:rsid w:val="0327A00D"/>
    <w:rsid w:val="034A0CDE"/>
    <w:rsid w:val="03D1090F"/>
    <w:rsid w:val="040F2D63"/>
    <w:rsid w:val="0479601B"/>
    <w:rsid w:val="04942355"/>
    <w:rsid w:val="04B83A03"/>
    <w:rsid w:val="04FC80A4"/>
    <w:rsid w:val="050F1F31"/>
    <w:rsid w:val="051A99B2"/>
    <w:rsid w:val="056D0F58"/>
    <w:rsid w:val="056EA5E3"/>
    <w:rsid w:val="0590E85D"/>
    <w:rsid w:val="05EAF471"/>
    <w:rsid w:val="068BD34D"/>
    <w:rsid w:val="06B9B2CE"/>
    <w:rsid w:val="06D95545"/>
    <w:rsid w:val="07014070"/>
    <w:rsid w:val="0701F3BF"/>
    <w:rsid w:val="0710645A"/>
    <w:rsid w:val="074D4AB1"/>
    <w:rsid w:val="07CC084D"/>
    <w:rsid w:val="07EB4606"/>
    <w:rsid w:val="081F4C96"/>
    <w:rsid w:val="083827DB"/>
    <w:rsid w:val="084308F3"/>
    <w:rsid w:val="084CF05E"/>
    <w:rsid w:val="0880682B"/>
    <w:rsid w:val="0896A571"/>
    <w:rsid w:val="08BD2537"/>
    <w:rsid w:val="08BEF449"/>
    <w:rsid w:val="08BFB110"/>
    <w:rsid w:val="09160DDC"/>
    <w:rsid w:val="094183D2"/>
    <w:rsid w:val="09573505"/>
    <w:rsid w:val="09702C80"/>
    <w:rsid w:val="09BA271F"/>
    <w:rsid w:val="0A1F568C"/>
    <w:rsid w:val="0A5A086A"/>
    <w:rsid w:val="0A76B5E0"/>
    <w:rsid w:val="0ABDD698"/>
    <w:rsid w:val="0AEB524B"/>
    <w:rsid w:val="0B23F1D8"/>
    <w:rsid w:val="0B467C67"/>
    <w:rsid w:val="0B798967"/>
    <w:rsid w:val="0BE45CB1"/>
    <w:rsid w:val="0BF66CCA"/>
    <w:rsid w:val="0C09A79F"/>
    <w:rsid w:val="0C790B81"/>
    <w:rsid w:val="0C88FAF2"/>
    <w:rsid w:val="0D1EC831"/>
    <w:rsid w:val="0D65F579"/>
    <w:rsid w:val="0D8D7E78"/>
    <w:rsid w:val="0DB26B19"/>
    <w:rsid w:val="0DB6DF7A"/>
    <w:rsid w:val="0DF8A89F"/>
    <w:rsid w:val="0E05408D"/>
    <w:rsid w:val="0E48A55E"/>
    <w:rsid w:val="0E556B74"/>
    <w:rsid w:val="0E589ABD"/>
    <w:rsid w:val="0E697F4E"/>
    <w:rsid w:val="0EE8A271"/>
    <w:rsid w:val="0F1BE40B"/>
    <w:rsid w:val="0F2CDE2D"/>
    <w:rsid w:val="0FABE3BB"/>
    <w:rsid w:val="0FFF6A73"/>
    <w:rsid w:val="103A5B92"/>
    <w:rsid w:val="1076058D"/>
    <w:rsid w:val="10F45B3C"/>
    <w:rsid w:val="10F621B5"/>
    <w:rsid w:val="112FC797"/>
    <w:rsid w:val="11505F83"/>
    <w:rsid w:val="1175E3A6"/>
    <w:rsid w:val="117AAAA7"/>
    <w:rsid w:val="1186F1F1"/>
    <w:rsid w:val="11AF8EB5"/>
    <w:rsid w:val="11B0017A"/>
    <w:rsid w:val="11DD3FC5"/>
    <w:rsid w:val="1244325A"/>
    <w:rsid w:val="124576F2"/>
    <w:rsid w:val="130996CE"/>
    <w:rsid w:val="131A5792"/>
    <w:rsid w:val="1343BD0E"/>
    <w:rsid w:val="1368ED13"/>
    <w:rsid w:val="1379ED6B"/>
    <w:rsid w:val="137AF0FF"/>
    <w:rsid w:val="13CDDB7E"/>
    <w:rsid w:val="145951E6"/>
    <w:rsid w:val="14C36434"/>
    <w:rsid w:val="15003E81"/>
    <w:rsid w:val="153F15E9"/>
    <w:rsid w:val="157FA6AA"/>
    <w:rsid w:val="15B2296C"/>
    <w:rsid w:val="15D4FB54"/>
    <w:rsid w:val="15E1A050"/>
    <w:rsid w:val="163AEAED"/>
    <w:rsid w:val="167D9622"/>
    <w:rsid w:val="16A5BDC2"/>
    <w:rsid w:val="16AC3E91"/>
    <w:rsid w:val="174CB116"/>
    <w:rsid w:val="17DECA33"/>
    <w:rsid w:val="17E168D8"/>
    <w:rsid w:val="17F8A46D"/>
    <w:rsid w:val="182F0A37"/>
    <w:rsid w:val="186879C2"/>
    <w:rsid w:val="18A415DC"/>
    <w:rsid w:val="192CB63A"/>
    <w:rsid w:val="1976A488"/>
    <w:rsid w:val="19885BD5"/>
    <w:rsid w:val="19A9F4E7"/>
    <w:rsid w:val="19AB271F"/>
    <w:rsid w:val="1A4E63C8"/>
    <w:rsid w:val="1A568489"/>
    <w:rsid w:val="1A61256B"/>
    <w:rsid w:val="1AAA6F07"/>
    <w:rsid w:val="1ACF7004"/>
    <w:rsid w:val="1B1316BC"/>
    <w:rsid w:val="1B6BA019"/>
    <w:rsid w:val="1BDB2964"/>
    <w:rsid w:val="1C8A52C9"/>
    <w:rsid w:val="1CB8952C"/>
    <w:rsid w:val="1CCFC5C4"/>
    <w:rsid w:val="1D30369C"/>
    <w:rsid w:val="1D8F4C4C"/>
    <w:rsid w:val="1DA9ECF0"/>
    <w:rsid w:val="1E029659"/>
    <w:rsid w:val="1E1E764F"/>
    <w:rsid w:val="1E2E314A"/>
    <w:rsid w:val="1E4D75FF"/>
    <w:rsid w:val="1E67CE6A"/>
    <w:rsid w:val="1E6C4E6C"/>
    <w:rsid w:val="1E83423F"/>
    <w:rsid w:val="1E925F7D"/>
    <w:rsid w:val="1EEB35C5"/>
    <w:rsid w:val="1EFCCDA3"/>
    <w:rsid w:val="1EFEB1A2"/>
    <w:rsid w:val="1F2B3C0F"/>
    <w:rsid w:val="1F39E442"/>
    <w:rsid w:val="1F3BF51C"/>
    <w:rsid w:val="1F945640"/>
    <w:rsid w:val="1FD41CDB"/>
    <w:rsid w:val="1FEC9AC6"/>
    <w:rsid w:val="1FF65B8A"/>
    <w:rsid w:val="20074D03"/>
    <w:rsid w:val="2009FCC0"/>
    <w:rsid w:val="20178375"/>
    <w:rsid w:val="20341F73"/>
    <w:rsid w:val="2087B018"/>
    <w:rsid w:val="20E169D6"/>
    <w:rsid w:val="2128F826"/>
    <w:rsid w:val="2196998A"/>
    <w:rsid w:val="21996FF7"/>
    <w:rsid w:val="21C38249"/>
    <w:rsid w:val="21C63F4A"/>
    <w:rsid w:val="222145DB"/>
    <w:rsid w:val="2249BF13"/>
    <w:rsid w:val="22D04BBB"/>
    <w:rsid w:val="2397294C"/>
    <w:rsid w:val="23AED95F"/>
    <w:rsid w:val="23EB5FE8"/>
    <w:rsid w:val="240972B4"/>
    <w:rsid w:val="241EC2CC"/>
    <w:rsid w:val="2430AE26"/>
    <w:rsid w:val="2460B06F"/>
    <w:rsid w:val="246C96D6"/>
    <w:rsid w:val="24E4C743"/>
    <w:rsid w:val="256C36A5"/>
    <w:rsid w:val="2604AFE4"/>
    <w:rsid w:val="26174237"/>
    <w:rsid w:val="2617AB30"/>
    <w:rsid w:val="263153CA"/>
    <w:rsid w:val="2655769C"/>
    <w:rsid w:val="266701A8"/>
    <w:rsid w:val="267DEE85"/>
    <w:rsid w:val="268EC42F"/>
    <w:rsid w:val="26D3D7B6"/>
    <w:rsid w:val="26DFA623"/>
    <w:rsid w:val="270D50C6"/>
    <w:rsid w:val="271288F3"/>
    <w:rsid w:val="27660DA4"/>
    <w:rsid w:val="277204D6"/>
    <w:rsid w:val="27D23E11"/>
    <w:rsid w:val="2819ECD5"/>
    <w:rsid w:val="282D5AE2"/>
    <w:rsid w:val="283E2B69"/>
    <w:rsid w:val="28598350"/>
    <w:rsid w:val="28710866"/>
    <w:rsid w:val="287142C1"/>
    <w:rsid w:val="28F450EC"/>
    <w:rsid w:val="28F9D352"/>
    <w:rsid w:val="291117DA"/>
    <w:rsid w:val="29448ACD"/>
    <w:rsid w:val="294527C5"/>
    <w:rsid w:val="2953CAA8"/>
    <w:rsid w:val="2963F399"/>
    <w:rsid w:val="2969A076"/>
    <w:rsid w:val="298284DA"/>
    <w:rsid w:val="29C10553"/>
    <w:rsid w:val="29FDB0E3"/>
    <w:rsid w:val="2A3DE15E"/>
    <w:rsid w:val="2AA02551"/>
    <w:rsid w:val="2AD1A9E4"/>
    <w:rsid w:val="2AD26DAF"/>
    <w:rsid w:val="2AF9FBC0"/>
    <w:rsid w:val="2B0EC360"/>
    <w:rsid w:val="2B422FFD"/>
    <w:rsid w:val="2B475678"/>
    <w:rsid w:val="2B54D143"/>
    <w:rsid w:val="2B5B2D73"/>
    <w:rsid w:val="2B6561B1"/>
    <w:rsid w:val="2BC0C651"/>
    <w:rsid w:val="2BC6F310"/>
    <w:rsid w:val="2BCC569E"/>
    <w:rsid w:val="2C430249"/>
    <w:rsid w:val="2C596354"/>
    <w:rsid w:val="2C709E7C"/>
    <w:rsid w:val="2CA427AB"/>
    <w:rsid w:val="2CB67AB0"/>
    <w:rsid w:val="2CC1C16C"/>
    <w:rsid w:val="2D36AB8B"/>
    <w:rsid w:val="2D715436"/>
    <w:rsid w:val="2DCCC814"/>
    <w:rsid w:val="2E1EB9AB"/>
    <w:rsid w:val="2E6D238F"/>
    <w:rsid w:val="2EC99282"/>
    <w:rsid w:val="2ED4F36F"/>
    <w:rsid w:val="2EF0BA0D"/>
    <w:rsid w:val="2F059382"/>
    <w:rsid w:val="2F95CF52"/>
    <w:rsid w:val="2FA433BF"/>
    <w:rsid w:val="2FC365C5"/>
    <w:rsid w:val="2FD0C453"/>
    <w:rsid w:val="302246EE"/>
    <w:rsid w:val="3028CAF9"/>
    <w:rsid w:val="30682331"/>
    <w:rsid w:val="30741E1D"/>
    <w:rsid w:val="3095B80B"/>
    <w:rsid w:val="30B247B0"/>
    <w:rsid w:val="30B31444"/>
    <w:rsid w:val="30F72CB3"/>
    <w:rsid w:val="3139AC61"/>
    <w:rsid w:val="31AB8F2E"/>
    <w:rsid w:val="31B68484"/>
    <w:rsid w:val="31D763BF"/>
    <w:rsid w:val="31E9BA5F"/>
    <w:rsid w:val="320ED174"/>
    <w:rsid w:val="3257A616"/>
    <w:rsid w:val="328A2F46"/>
    <w:rsid w:val="32936017"/>
    <w:rsid w:val="32A47848"/>
    <w:rsid w:val="32B1B80F"/>
    <w:rsid w:val="32B92EB7"/>
    <w:rsid w:val="32FEEAEF"/>
    <w:rsid w:val="333B1D3C"/>
    <w:rsid w:val="3359CF27"/>
    <w:rsid w:val="33989EEB"/>
    <w:rsid w:val="33AC04DB"/>
    <w:rsid w:val="3400ACF8"/>
    <w:rsid w:val="34093D11"/>
    <w:rsid w:val="343944AE"/>
    <w:rsid w:val="355EE475"/>
    <w:rsid w:val="35FE6C0E"/>
    <w:rsid w:val="36755250"/>
    <w:rsid w:val="36EB433A"/>
    <w:rsid w:val="36F66F0F"/>
    <w:rsid w:val="37256816"/>
    <w:rsid w:val="378C47AB"/>
    <w:rsid w:val="386C6E99"/>
    <w:rsid w:val="389A17D1"/>
    <w:rsid w:val="38EBD949"/>
    <w:rsid w:val="3924BAFD"/>
    <w:rsid w:val="393B7813"/>
    <w:rsid w:val="3946BF1C"/>
    <w:rsid w:val="39B339B2"/>
    <w:rsid w:val="39CC0D7C"/>
    <w:rsid w:val="39F97EA3"/>
    <w:rsid w:val="3A04FB16"/>
    <w:rsid w:val="3A44B68D"/>
    <w:rsid w:val="3A4B325E"/>
    <w:rsid w:val="3A84903D"/>
    <w:rsid w:val="3A977B0E"/>
    <w:rsid w:val="3AB8D66D"/>
    <w:rsid w:val="3AC9AD92"/>
    <w:rsid w:val="3AD5C6CC"/>
    <w:rsid w:val="3AE1D7CD"/>
    <w:rsid w:val="3B875496"/>
    <w:rsid w:val="3BDB34DD"/>
    <w:rsid w:val="3C375A13"/>
    <w:rsid w:val="3CB7E75F"/>
    <w:rsid w:val="3CC5FA5D"/>
    <w:rsid w:val="3CDD7469"/>
    <w:rsid w:val="3CED58B3"/>
    <w:rsid w:val="3D1BFFE4"/>
    <w:rsid w:val="3D3A4C04"/>
    <w:rsid w:val="3DA3585D"/>
    <w:rsid w:val="3DA73E42"/>
    <w:rsid w:val="3DC269F8"/>
    <w:rsid w:val="3DC3C5EE"/>
    <w:rsid w:val="3DE210BA"/>
    <w:rsid w:val="3DFA3409"/>
    <w:rsid w:val="3E01B9E2"/>
    <w:rsid w:val="3E6DD4E6"/>
    <w:rsid w:val="3E977D8E"/>
    <w:rsid w:val="3E9BD986"/>
    <w:rsid w:val="3EC6C60B"/>
    <w:rsid w:val="3EE2BACD"/>
    <w:rsid w:val="3F0D4071"/>
    <w:rsid w:val="3F766080"/>
    <w:rsid w:val="3FE3E4DC"/>
    <w:rsid w:val="40563C00"/>
    <w:rsid w:val="405874C4"/>
    <w:rsid w:val="409769B1"/>
    <w:rsid w:val="40AA6CF7"/>
    <w:rsid w:val="40AE9A9E"/>
    <w:rsid w:val="40B2A4D8"/>
    <w:rsid w:val="40B5CDCE"/>
    <w:rsid w:val="40E5C23A"/>
    <w:rsid w:val="41258002"/>
    <w:rsid w:val="41274650"/>
    <w:rsid w:val="414E3F78"/>
    <w:rsid w:val="4167F6A4"/>
    <w:rsid w:val="41714974"/>
    <w:rsid w:val="41CDC0A0"/>
    <w:rsid w:val="421D79D0"/>
    <w:rsid w:val="4252A100"/>
    <w:rsid w:val="427F63E0"/>
    <w:rsid w:val="42E96331"/>
    <w:rsid w:val="4314BED3"/>
    <w:rsid w:val="43295F14"/>
    <w:rsid w:val="4364C7AD"/>
    <w:rsid w:val="4375714C"/>
    <w:rsid w:val="439850CC"/>
    <w:rsid w:val="43A54F89"/>
    <w:rsid w:val="43C1EE0A"/>
    <w:rsid w:val="43D90DE1"/>
    <w:rsid w:val="43DDB1C6"/>
    <w:rsid w:val="444A212F"/>
    <w:rsid w:val="44832D72"/>
    <w:rsid w:val="44A27972"/>
    <w:rsid w:val="465D03F3"/>
    <w:rsid w:val="465E889D"/>
    <w:rsid w:val="46A50898"/>
    <w:rsid w:val="46D1A8A8"/>
    <w:rsid w:val="46F1723D"/>
    <w:rsid w:val="470DD7BE"/>
    <w:rsid w:val="478D2B75"/>
    <w:rsid w:val="47BEA0B9"/>
    <w:rsid w:val="47C198F3"/>
    <w:rsid w:val="47F59125"/>
    <w:rsid w:val="47FE4B44"/>
    <w:rsid w:val="4866AB0A"/>
    <w:rsid w:val="48FE4E5C"/>
    <w:rsid w:val="4934CC45"/>
    <w:rsid w:val="4961E055"/>
    <w:rsid w:val="4981CA7F"/>
    <w:rsid w:val="499A8E19"/>
    <w:rsid w:val="49AE027B"/>
    <w:rsid w:val="49B5EA4C"/>
    <w:rsid w:val="49B5FAEC"/>
    <w:rsid w:val="4A08B041"/>
    <w:rsid w:val="4A0F5B5A"/>
    <w:rsid w:val="4A172717"/>
    <w:rsid w:val="4A57DAA8"/>
    <w:rsid w:val="4A5CF71B"/>
    <w:rsid w:val="4A5D9A9D"/>
    <w:rsid w:val="4AC9FF81"/>
    <w:rsid w:val="4ADC331E"/>
    <w:rsid w:val="4AE877E3"/>
    <w:rsid w:val="4AFC1A2B"/>
    <w:rsid w:val="4B058363"/>
    <w:rsid w:val="4B1FCE3F"/>
    <w:rsid w:val="4B76F82A"/>
    <w:rsid w:val="4B7E9D0C"/>
    <w:rsid w:val="4B8365D1"/>
    <w:rsid w:val="4B9A3311"/>
    <w:rsid w:val="4BAB41AC"/>
    <w:rsid w:val="4C44044C"/>
    <w:rsid w:val="4C9A14F1"/>
    <w:rsid w:val="4C9C91B6"/>
    <w:rsid w:val="4CD5AA75"/>
    <w:rsid w:val="4D28F0D7"/>
    <w:rsid w:val="4D536910"/>
    <w:rsid w:val="4D85EC75"/>
    <w:rsid w:val="4DD5C034"/>
    <w:rsid w:val="4DDB0E68"/>
    <w:rsid w:val="4DE08A68"/>
    <w:rsid w:val="4E00A344"/>
    <w:rsid w:val="4E047A83"/>
    <w:rsid w:val="4E0E5ED1"/>
    <w:rsid w:val="4E107089"/>
    <w:rsid w:val="4E86CAB4"/>
    <w:rsid w:val="4E8D5E2E"/>
    <w:rsid w:val="4E9E464B"/>
    <w:rsid w:val="4ED538B2"/>
    <w:rsid w:val="4ED90234"/>
    <w:rsid w:val="4EE99A60"/>
    <w:rsid w:val="4EF37DBD"/>
    <w:rsid w:val="4F861D25"/>
    <w:rsid w:val="4F93F3F7"/>
    <w:rsid w:val="4F9F464E"/>
    <w:rsid w:val="4FA60B87"/>
    <w:rsid w:val="4FCD4928"/>
    <w:rsid w:val="4FE2AC37"/>
    <w:rsid w:val="501AB4BD"/>
    <w:rsid w:val="50245702"/>
    <w:rsid w:val="5029387F"/>
    <w:rsid w:val="5041B5BC"/>
    <w:rsid w:val="50A6B3DF"/>
    <w:rsid w:val="50B4DBC3"/>
    <w:rsid w:val="50C40BD4"/>
    <w:rsid w:val="512DE940"/>
    <w:rsid w:val="51A750B1"/>
    <w:rsid w:val="51A8BA7E"/>
    <w:rsid w:val="52A1455C"/>
    <w:rsid w:val="52DFBCE2"/>
    <w:rsid w:val="52E2D736"/>
    <w:rsid w:val="53210200"/>
    <w:rsid w:val="534AE457"/>
    <w:rsid w:val="53A44D05"/>
    <w:rsid w:val="541CB1F8"/>
    <w:rsid w:val="54572B3F"/>
    <w:rsid w:val="54E19FDB"/>
    <w:rsid w:val="55297675"/>
    <w:rsid w:val="55553D81"/>
    <w:rsid w:val="55B80DA1"/>
    <w:rsid w:val="55D553D3"/>
    <w:rsid w:val="55FFF736"/>
    <w:rsid w:val="561F3AA9"/>
    <w:rsid w:val="5657FAF9"/>
    <w:rsid w:val="565ECAD6"/>
    <w:rsid w:val="56968D29"/>
    <w:rsid w:val="56A75A23"/>
    <w:rsid w:val="56B35648"/>
    <w:rsid w:val="56DAD1A8"/>
    <w:rsid w:val="570605B6"/>
    <w:rsid w:val="57C390F0"/>
    <w:rsid w:val="57C9BF17"/>
    <w:rsid w:val="57E7548C"/>
    <w:rsid w:val="5805CB74"/>
    <w:rsid w:val="58792294"/>
    <w:rsid w:val="58B61205"/>
    <w:rsid w:val="599008BE"/>
    <w:rsid w:val="599271F9"/>
    <w:rsid w:val="59F2D428"/>
    <w:rsid w:val="59FE7283"/>
    <w:rsid w:val="59FF77D9"/>
    <w:rsid w:val="5A05BB7B"/>
    <w:rsid w:val="5A4086CF"/>
    <w:rsid w:val="5A60AF95"/>
    <w:rsid w:val="5AC8A2C9"/>
    <w:rsid w:val="5ACD8B89"/>
    <w:rsid w:val="5B015DF5"/>
    <w:rsid w:val="5B0905F6"/>
    <w:rsid w:val="5B1B7F4D"/>
    <w:rsid w:val="5B4759EB"/>
    <w:rsid w:val="5B807943"/>
    <w:rsid w:val="5BD27F03"/>
    <w:rsid w:val="5C27E566"/>
    <w:rsid w:val="5C416331"/>
    <w:rsid w:val="5C4FC3B0"/>
    <w:rsid w:val="5CCDA84F"/>
    <w:rsid w:val="5CDA1878"/>
    <w:rsid w:val="5CE7F9C2"/>
    <w:rsid w:val="5D0F806D"/>
    <w:rsid w:val="5D17914C"/>
    <w:rsid w:val="5D29AD29"/>
    <w:rsid w:val="5D9D4751"/>
    <w:rsid w:val="5DA0BF9C"/>
    <w:rsid w:val="5DA2D62A"/>
    <w:rsid w:val="5DC6D634"/>
    <w:rsid w:val="5E18A0D7"/>
    <w:rsid w:val="5E7C8E5B"/>
    <w:rsid w:val="5E82B130"/>
    <w:rsid w:val="5E82B566"/>
    <w:rsid w:val="5E86E90D"/>
    <w:rsid w:val="5EAC4470"/>
    <w:rsid w:val="5EB786CA"/>
    <w:rsid w:val="5ED61108"/>
    <w:rsid w:val="5F0812B4"/>
    <w:rsid w:val="5F1EE614"/>
    <w:rsid w:val="5F384EBC"/>
    <w:rsid w:val="5F7D485F"/>
    <w:rsid w:val="60418C8C"/>
    <w:rsid w:val="604A7DD3"/>
    <w:rsid w:val="60588740"/>
    <w:rsid w:val="60DA680B"/>
    <w:rsid w:val="614A358C"/>
    <w:rsid w:val="619404BF"/>
    <w:rsid w:val="61CAC71F"/>
    <w:rsid w:val="61E0FF3B"/>
    <w:rsid w:val="6200A13B"/>
    <w:rsid w:val="6207D768"/>
    <w:rsid w:val="6225029D"/>
    <w:rsid w:val="625DFB0E"/>
    <w:rsid w:val="63AB647D"/>
    <w:rsid w:val="63AC1E05"/>
    <w:rsid w:val="63B5B66E"/>
    <w:rsid w:val="63BA5FF5"/>
    <w:rsid w:val="64964DBA"/>
    <w:rsid w:val="65468970"/>
    <w:rsid w:val="654ED10D"/>
    <w:rsid w:val="6573B8DF"/>
    <w:rsid w:val="657EDFEC"/>
    <w:rsid w:val="6584702B"/>
    <w:rsid w:val="65C3A44B"/>
    <w:rsid w:val="65C6CDB9"/>
    <w:rsid w:val="65FC729D"/>
    <w:rsid w:val="6609FCC9"/>
    <w:rsid w:val="664CC6F1"/>
    <w:rsid w:val="669811B3"/>
    <w:rsid w:val="669B6D3E"/>
    <w:rsid w:val="670356F9"/>
    <w:rsid w:val="6751E9D6"/>
    <w:rsid w:val="67781C0E"/>
    <w:rsid w:val="677DB46B"/>
    <w:rsid w:val="678A9756"/>
    <w:rsid w:val="67C7A197"/>
    <w:rsid w:val="67D41E27"/>
    <w:rsid w:val="67D4CE27"/>
    <w:rsid w:val="682201A0"/>
    <w:rsid w:val="685DAA9D"/>
    <w:rsid w:val="68608B60"/>
    <w:rsid w:val="689006DC"/>
    <w:rsid w:val="690F74B1"/>
    <w:rsid w:val="6916877F"/>
    <w:rsid w:val="69257027"/>
    <w:rsid w:val="693C5D46"/>
    <w:rsid w:val="6941BC2E"/>
    <w:rsid w:val="6956DB21"/>
    <w:rsid w:val="697194EB"/>
    <w:rsid w:val="69E5F21E"/>
    <w:rsid w:val="69F28012"/>
    <w:rsid w:val="69F4346A"/>
    <w:rsid w:val="69FD0DCE"/>
    <w:rsid w:val="69FE89C4"/>
    <w:rsid w:val="6A138064"/>
    <w:rsid w:val="6A8E8BD1"/>
    <w:rsid w:val="6A941E19"/>
    <w:rsid w:val="6A9DDA3F"/>
    <w:rsid w:val="6B58B11A"/>
    <w:rsid w:val="6B6C2300"/>
    <w:rsid w:val="6B936AD7"/>
    <w:rsid w:val="6B96D40A"/>
    <w:rsid w:val="6BDC7831"/>
    <w:rsid w:val="6BE5A81B"/>
    <w:rsid w:val="6C16D654"/>
    <w:rsid w:val="6C197226"/>
    <w:rsid w:val="6C4C4719"/>
    <w:rsid w:val="6C51CB92"/>
    <w:rsid w:val="6C7B0EE6"/>
    <w:rsid w:val="6CBAB772"/>
    <w:rsid w:val="6D0B6DE7"/>
    <w:rsid w:val="6D77270F"/>
    <w:rsid w:val="6D9209C3"/>
    <w:rsid w:val="6DB9948F"/>
    <w:rsid w:val="6DE6349A"/>
    <w:rsid w:val="6DEFA747"/>
    <w:rsid w:val="6E8EE5B6"/>
    <w:rsid w:val="6EBE213A"/>
    <w:rsid w:val="6ED06B02"/>
    <w:rsid w:val="6EDA576E"/>
    <w:rsid w:val="6F2AE6C1"/>
    <w:rsid w:val="6FA66C63"/>
    <w:rsid w:val="6FA91647"/>
    <w:rsid w:val="6FDDAC48"/>
    <w:rsid w:val="6FF8C0D5"/>
    <w:rsid w:val="700D0DD4"/>
    <w:rsid w:val="706FC98C"/>
    <w:rsid w:val="708A8E1A"/>
    <w:rsid w:val="70CE3D36"/>
    <w:rsid w:val="71C0398E"/>
    <w:rsid w:val="71CA03C8"/>
    <w:rsid w:val="71E5EA42"/>
    <w:rsid w:val="71EB3160"/>
    <w:rsid w:val="71EC5733"/>
    <w:rsid w:val="71F6B393"/>
    <w:rsid w:val="723CFE29"/>
    <w:rsid w:val="729BF950"/>
    <w:rsid w:val="72ABFDFF"/>
    <w:rsid w:val="72C39DC8"/>
    <w:rsid w:val="72EB842C"/>
    <w:rsid w:val="72FA6E8F"/>
    <w:rsid w:val="72FAE24B"/>
    <w:rsid w:val="7310212B"/>
    <w:rsid w:val="7329C867"/>
    <w:rsid w:val="734471E3"/>
    <w:rsid w:val="7364974C"/>
    <w:rsid w:val="7376E2C4"/>
    <w:rsid w:val="73C37E7E"/>
    <w:rsid w:val="73C6E441"/>
    <w:rsid w:val="73EF4786"/>
    <w:rsid w:val="742FC69F"/>
    <w:rsid w:val="7459A6D0"/>
    <w:rsid w:val="748617D4"/>
    <w:rsid w:val="74EDD181"/>
    <w:rsid w:val="751CCA79"/>
    <w:rsid w:val="75956364"/>
    <w:rsid w:val="75CE2117"/>
    <w:rsid w:val="75FA62DA"/>
    <w:rsid w:val="76157085"/>
    <w:rsid w:val="76284C05"/>
    <w:rsid w:val="76ACB4B0"/>
    <w:rsid w:val="76C3FF39"/>
    <w:rsid w:val="76DDBEF4"/>
    <w:rsid w:val="77027F2E"/>
    <w:rsid w:val="77296A0E"/>
    <w:rsid w:val="772FA2D8"/>
    <w:rsid w:val="773FCDEF"/>
    <w:rsid w:val="77A09FD3"/>
    <w:rsid w:val="77D8DE4A"/>
    <w:rsid w:val="77E71502"/>
    <w:rsid w:val="7823228A"/>
    <w:rsid w:val="784E08F3"/>
    <w:rsid w:val="78DD8306"/>
    <w:rsid w:val="78E94FD7"/>
    <w:rsid w:val="793FE125"/>
    <w:rsid w:val="7942DB9B"/>
    <w:rsid w:val="79646F87"/>
    <w:rsid w:val="796D9757"/>
    <w:rsid w:val="7975A185"/>
    <w:rsid w:val="79984D56"/>
    <w:rsid w:val="79F91FE7"/>
    <w:rsid w:val="7A0FD928"/>
    <w:rsid w:val="7A7ABF1D"/>
    <w:rsid w:val="7A892AFF"/>
    <w:rsid w:val="7A9B2F5B"/>
    <w:rsid w:val="7ABBD0A9"/>
    <w:rsid w:val="7AD543AB"/>
    <w:rsid w:val="7AED9B30"/>
    <w:rsid w:val="7AF8F086"/>
    <w:rsid w:val="7AFC904C"/>
    <w:rsid w:val="7B09F9B8"/>
    <w:rsid w:val="7B5857A6"/>
    <w:rsid w:val="7BD8CD6F"/>
    <w:rsid w:val="7C0FECB6"/>
    <w:rsid w:val="7C6E88E7"/>
    <w:rsid w:val="7C9AB873"/>
    <w:rsid w:val="7C9E06B9"/>
    <w:rsid w:val="7CE211E7"/>
    <w:rsid w:val="7CFF2B56"/>
    <w:rsid w:val="7D41A798"/>
    <w:rsid w:val="7D4B2F06"/>
    <w:rsid w:val="7D8BEB11"/>
    <w:rsid w:val="7DCB0DE0"/>
    <w:rsid w:val="7E00F4B9"/>
    <w:rsid w:val="7EDE0746"/>
    <w:rsid w:val="7F364F54"/>
    <w:rsid w:val="7F44407A"/>
    <w:rsid w:val="7F67631C"/>
    <w:rsid w:val="7F8AF359"/>
    <w:rsid w:val="7F97F52F"/>
    <w:rsid w:val="7FE9A6D6"/>
    <w:rsid w:val="7FFA622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0B597E"/>
  <w15:chartTrackingRefBased/>
  <w15:docId w15:val="{97F21FF8-6DB9-46B8-8F71-D7C6C9D2C89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010DE"/>
    <w:pPr>
      <w:spacing w:after="0" w:line="240" w:lineRule="auto"/>
    </w:pPr>
    <w:rPr>
      <w:rFonts w:ascii="Calibri" w:hAnsi="Calibri"/>
    </w:rPr>
  </w:style>
  <w:style w:type="paragraph" w:styleId="Heading1">
    <w:name w:val="heading 1"/>
    <w:basedOn w:val="Normal"/>
    <w:next w:val="Normal"/>
    <w:link w:val="Heading1Char"/>
    <w:uiPriority w:val="9"/>
    <w:qFormat/>
    <w:rsid w:val="001C7685"/>
    <w:pPr>
      <w:keepNext/>
      <w:keepLines/>
      <w:pageBreakBefore/>
      <w:numPr>
        <w:numId w:val="1"/>
      </w:numPr>
      <w:pBdr>
        <w:bottom w:val="single" w:color="156082" w:themeColor="accent1" w:sz="8" w:space="1"/>
      </w:pBdr>
      <w:outlineLvl w:val="0"/>
    </w:pPr>
    <w:rPr>
      <w:rFonts w:cs="Calibri" w:eastAsiaTheme="majorEastAsia"/>
      <w:b/>
      <w:sz w:val="32"/>
      <w:szCs w:val="32"/>
      <w:lang w:val="en-GB"/>
    </w:rPr>
  </w:style>
  <w:style w:type="paragraph" w:styleId="Heading2">
    <w:name w:val="heading 2"/>
    <w:basedOn w:val="Normal"/>
    <w:next w:val="Normal"/>
    <w:link w:val="Heading2Char"/>
    <w:uiPriority w:val="9"/>
    <w:unhideWhenUsed/>
    <w:qFormat/>
    <w:rsid w:val="001C7685"/>
    <w:pPr>
      <w:keepNext/>
      <w:keepLines/>
      <w:numPr>
        <w:ilvl w:val="1"/>
        <w:numId w:val="1"/>
      </w:numPr>
      <w:ind w:left="567" w:hanging="567"/>
      <w:outlineLvl w:val="1"/>
    </w:pPr>
    <w:rPr>
      <w:rFonts w:cs="Calibri" w:eastAsiaTheme="majorEastAsia"/>
      <w:b/>
      <w:sz w:val="28"/>
      <w:szCs w:val="28"/>
      <w:lang w:val="en-GB"/>
    </w:rPr>
  </w:style>
  <w:style w:type="paragraph" w:styleId="Heading3">
    <w:name w:val="heading 3"/>
    <w:basedOn w:val="Normal"/>
    <w:next w:val="Normal"/>
    <w:link w:val="Heading3Char"/>
    <w:uiPriority w:val="9"/>
    <w:unhideWhenUsed/>
    <w:qFormat/>
    <w:rsid w:val="005A3A2A"/>
    <w:pPr>
      <w:keepNext/>
      <w:keepLines/>
      <w:spacing w:before="40"/>
      <w:outlineLvl w:val="2"/>
    </w:pPr>
    <w:rPr>
      <w:rFonts w:asciiTheme="majorHAnsi" w:hAnsiTheme="majorHAnsi" w:eastAsiaTheme="majorEastAsia" w:cstheme="majorBidi"/>
      <w:color w:val="0A2F40" w:themeColor="accent1" w:themeShade="7F"/>
    </w:rPr>
  </w:style>
  <w:style w:type="paragraph" w:styleId="Heading4">
    <w:name w:val="heading 4"/>
    <w:basedOn w:val="Normal"/>
    <w:next w:val="Normal"/>
    <w:link w:val="Heading4Char"/>
    <w:uiPriority w:val="9"/>
    <w:unhideWhenUsed/>
    <w:qFormat/>
    <w:rsid w:val="000831ED"/>
    <w:pPr>
      <w:keepNext/>
      <w:keepLines/>
      <w:spacing w:before="40"/>
      <w:outlineLvl w:val="3"/>
    </w:pPr>
    <w:rPr>
      <w:rFonts w:asciiTheme="majorHAnsi" w:hAnsiTheme="majorHAnsi" w:eastAsiaTheme="majorEastAsia" w:cstheme="majorBidi"/>
      <w:i/>
      <w:iCs/>
      <w:color w:val="0F4761"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4364C7AD"/>
    <w:pPr>
      <w:ind w:left="720"/>
      <w:contextualSpacing/>
    </w:pPr>
  </w:style>
  <w:style w:type="paragraph" w:styleId="Header">
    <w:name w:val="header"/>
    <w:basedOn w:val="Normal"/>
    <w:link w:val="HeaderChar"/>
    <w:uiPriority w:val="99"/>
    <w:unhideWhenUsed/>
    <w:rsid w:val="00721298"/>
    <w:pPr>
      <w:tabs>
        <w:tab w:val="center" w:pos="4680"/>
        <w:tab w:val="right" w:pos="9360"/>
      </w:tabs>
    </w:pPr>
  </w:style>
  <w:style w:type="character" w:styleId="HeaderChar" w:customStyle="1">
    <w:name w:val="Header Char"/>
    <w:basedOn w:val="DefaultParagraphFont"/>
    <w:link w:val="Header"/>
    <w:uiPriority w:val="99"/>
    <w:rsid w:val="00721298"/>
  </w:style>
  <w:style w:type="paragraph" w:styleId="CommentText">
    <w:name w:val="Comment Text"/>
    <w:basedOn w:val="Normal"/>
    <w:link w:val="CommentTextChar"/>
    <w:uiPriority w:val="99"/>
    <w:unhideWhenUsed/>
    <w:rPr>
      <w:sz w:val="20"/>
      <w:szCs w:val="20"/>
    </w:rPr>
  </w:style>
  <w:style w:type="character" w:styleId="CommentTextChar" w:customStyle="1">
    <w:name w:val="Comment Text Char"/>
    <w:basedOn w:val="DefaultParagraphFont"/>
    <w:link w:val="CommentText"/>
    <w:uiPriority w:val="99"/>
    <w:rPr>
      <w:sz w:val="20"/>
      <w:szCs w:val="20"/>
    </w:rPr>
  </w:style>
  <w:style w:type="character" w:styleId="CommentReference">
    <w:name w:val="Comment Reference"/>
    <w:basedOn w:val="DefaultParagraphFont"/>
    <w:uiPriority w:val="99"/>
    <w:semiHidden/>
    <w:unhideWhenUsed/>
    <w:rPr>
      <w:sz w:val="16"/>
      <w:szCs w:val="16"/>
    </w:rPr>
  </w:style>
  <w:style w:type="paragraph" w:styleId="Footer">
    <w:name w:val="footer"/>
    <w:basedOn w:val="Normal"/>
    <w:link w:val="FooterChar"/>
    <w:uiPriority w:val="99"/>
    <w:unhideWhenUsed/>
    <w:rsid w:val="00A44742"/>
    <w:pPr>
      <w:tabs>
        <w:tab w:val="center" w:pos="4513"/>
        <w:tab w:val="right" w:pos="9026"/>
      </w:tabs>
    </w:pPr>
  </w:style>
  <w:style w:type="character" w:styleId="FooterChar" w:customStyle="1">
    <w:name w:val="Footer Char"/>
    <w:basedOn w:val="DefaultParagraphFont"/>
    <w:link w:val="Footer"/>
    <w:uiPriority w:val="99"/>
    <w:rsid w:val="00A44742"/>
  </w:style>
  <w:style w:type="paragraph" w:styleId="CommentSubject">
    <w:name w:val="Comment Subject"/>
    <w:basedOn w:val="CommentText"/>
    <w:next w:val="CommentText"/>
    <w:link w:val="CommentSubjectChar"/>
    <w:uiPriority w:val="99"/>
    <w:semiHidden/>
    <w:unhideWhenUsed/>
    <w:rsid w:val="008C7165"/>
    <w:rPr>
      <w:b/>
      <w:bCs/>
    </w:rPr>
  </w:style>
  <w:style w:type="character" w:styleId="CommentSubjectChar" w:customStyle="1">
    <w:name w:val="Comment Subject Char"/>
    <w:basedOn w:val="CommentTextChar"/>
    <w:link w:val="CommentSubject"/>
    <w:uiPriority w:val="99"/>
    <w:semiHidden/>
    <w:rsid w:val="008C7165"/>
    <w:rPr>
      <w:b/>
      <w:bCs/>
      <w:sz w:val="20"/>
      <w:szCs w:val="20"/>
    </w:rPr>
  </w:style>
  <w:style w:type="character" w:styleId="Heading1Char" w:customStyle="1">
    <w:name w:val="Heading 1 Char"/>
    <w:basedOn w:val="DefaultParagraphFont"/>
    <w:link w:val="Heading1"/>
    <w:uiPriority w:val="9"/>
    <w:rsid w:val="001C7685"/>
    <w:rPr>
      <w:rFonts w:ascii="Calibri" w:hAnsi="Calibri" w:cs="Calibri" w:eastAsiaTheme="majorEastAsia"/>
      <w:b/>
      <w:sz w:val="32"/>
      <w:szCs w:val="32"/>
      <w:lang w:val="en-GB"/>
    </w:rPr>
  </w:style>
  <w:style w:type="character" w:styleId="Heading2Char" w:customStyle="1">
    <w:name w:val="Heading 2 Char"/>
    <w:basedOn w:val="DefaultParagraphFont"/>
    <w:link w:val="Heading2"/>
    <w:uiPriority w:val="9"/>
    <w:rsid w:val="001C7685"/>
    <w:rPr>
      <w:rFonts w:ascii="Calibri" w:hAnsi="Calibri" w:cs="Calibri" w:eastAsiaTheme="majorEastAsia"/>
      <w:b/>
      <w:sz w:val="28"/>
      <w:szCs w:val="28"/>
      <w:lang w:val="en-GB"/>
    </w:rPr>
  </w:style>
  <w:style w:type="character" w:styleId="Heading3Char" w:customStyle="1">
    <w:name w:val="Heading 3 Char"/>
    <w:basedOn w:val="DefaultParagraphFont"/>
    <w:link w:val="Heading3"/>
    <w:uiPriority w:val="9"/>
    <w:rsid w:val="005A3A2A"/>
    <w:rPr>
      <w:rFonts w:asciiTheme="majorHAnsi" w:hAnsiTheme="majorHAnsi" w:eastAsiaTheme="majorEastAsia" w:cstheme="majorBidi"/>
      <w:color w:val="0A2F40" w:themeColor="accent1" w:themeShade="7F"/>
    </w:rPr>
  </w:style>
  <w:style w:type="character" w:styleId="normaltextrun" w:customStyle="1">
    <w:name w:val="normaltextrun"/>
    <w:basedOn w:val="DefaultParagraphFont"/>
    <w:rsid w:val="005A3A2A"/>
    <w:rPr>
      <w:rFonts w:asciiTheme="minorHAnsi" w:hAnsiTheme="minorHAnsi" w:eastAsiaTheme="minorEastAsia" w:cstheme="minorBidi"/>
      <w:sz w:val="22"/>
      <w:szCs w:val="22"/>
    </w:rPr>
  </w:style>
  <w:style w:type="table" w:styleId="TableGrid">
    <w:name w:val="Table Grid"/>
    <w:basedOn w:val="TableNormal"/>
    <w:uiPriority w:val="59"/>
    <w:rsid w:val="005A3A2A"/>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Mention">
    <w:name w:val="Mention"/>
    <w:basedOn w:val="DefaultParagraphFont"/>
    <w:uiPriority w:val="99"/>
    <w:unhideWhenUsed/>
    <w:rsid w:val="005A3A2A"/>
    <w:rPr>
      <w:color w:val="2B579A"/>
      <w:shd w:val="clear" w:color="auto" w:fill="E1DFDD"/>
    </w:rPr>
  </w:style>
  <w:style w:type="paragraph" w:styleId="TOCHeading">
    <w:name w:val="TOC Heading"/>
    <w:basedOn w:val="Heading1"/>
    <w:next w:val="Normal"/>
    <w:uiPriority w:val="39"/>
    <w:unhideWhenUsed/>
    <w:qFormat/>
    <w:rsid w:val="005A3A2A"/>
    <w:pPr>
      <w:spacing w:line="259" w:lineRule="auto"/>
      <w:outlineLvl w:val="9"/>
    </w:pPr>
    <w:rPr>
      <w:lang w:eastAsia="en-US"/>
    </w:rPr>
  </w:style>
  <w:style w:type="paragraph" w:styleId="TOC2">
    <w:name w:val="toc 2"/>
    <w:basedOn w:val="Normal"/>
    <w:next w:val="Normal"/>
    <w:autoRedefine/>
    <w:uiPriority w:val="39"/>
    <w:unhideWhenUsed/>
    <w:rsid w:val="005A3A2A"/>
    <w:pPr>
      <w:spacing w:after="100" w:line="259" w:lineRule="auto"/>
      <w:ind w:left="220"/>
    </w:pPr>
    <w:rPr>
      <w:rFonts w:cs="Times New Roman"/>
      <w:sz w:val="22"/>
      <w:szCs w:val="22"/>
      <w:lang w:eastAsia="en-US"/>
    </w:rPr>
  </w:style>
  <w:style w:type="paragraph" w:styleId="TOC1">
    <w:name w:val="toc 1"/>
    <w:basedOn w:val="Normal"/>
    <w:next w:val="Normal"/>
    <w:autoRedefine/>
    <w:uiPriority w:val="39"/>
    <w:unhideWhenUsed/>
    <w:rsid w:val="002C6772"/>
    <w:pPr>
      <w:tabs>
        <w:tab w:val="left" w:pos="440"/>
        <w:tab w:val="right" w:leader="dot" w:pos="9962"/>
      </w:tabs>
    </w:pPr>
    <w:rPr>
      <w:rFonts w:cs="Times New Roman"/>
      <w:b/>
      <w:bCs/>
      <w:noProof/>
      <w:lang w:val="en-GB" w:eastAsia="en-US"/>
    </w:rPr>
  </w:style>
  <w:style w:type="paragraph" w:styleId="TOC3">
    <w:name w:val="toc 3"/>
    <w:basedOn w:val="Normal"/>
    <w:next w:val="Normal"/>
    <w:autoRedefine/>
    <w:uiPriority w:val="39"/>
    <w:unhideWhenUsed/>
    <w:rsid w:val="005A3A2A"/>
    <w:pPr>
      <w:spacing w:after="100" w:line="259" w:lineRule="auto"/>
      <w:ind w:left="440"/>
    </w:pPr>
    <w:rPr>
      <w:rFonts w:cs="Times New Roman"/>
      <w:sz w:val="22"/>
      <w:szCs w:val="22"/>
      <w:lang w:eastAsia="en-US"/>
    </w:rPr>
  </w:style>
  <w:style w:type="character" w:styleId="Hyperlink">
    <w:name w:val="Hyperlink"/>
    <w:basedOn w:val="DefaultParagraphFont"/>
    <w:uiPriority w:val="99"/>
    <w:unhideWhenUsed/>
    <w:rsid w:val="005A3A2A"/>
    <w:rPr>
      <w:color w:val="467886" w:themeColor="hyperlink"/>
      <w:u w:val="single"/>
    </w:rPr>
  </w:style>
  <w:style w:type="character" w:styleId="UnresolvedMention">
    <w:name w:val="Unresolved Mention"/>
    <w:basedOn w:val="DefaultParagraphFont"/>
    <w:uiPriority w:val="99"/>
    <w:semiHidden/>
    <w:unhideWhenUsed/>
    <w:rsid w:val="00BC4228"/>
    <w:rPr>
      <w:color w:val="605E5C"/>
      <w:shd w:val="clear" w:color="auto" w:fill="E1DFDD"/>
    </w:rPr>
  </w:style>
  <w:style w:type="table" w:styleId="GridTable4-Accent4">
    <w:name w:val="Grid Table 4 Accent 4"/>
    <w:basedOn w:val="TableNormal"/>
    <w:uiPriority w:val="49"/>
    <w:rsid w:val="00BA1083"/>
    <w:pPr>
      <w:spacing w:after="0" w:line="240" w:lineRule="auto"/>
    </w:pPr>
    <w:tblPr>
      <w:tblStyleRowBandSize w:val="1"/>
      <w:tblStyleColBandSize w:val="1"/>
      <w:tblBorders>
        <w:top w:val="single" w:color="60CAF3" w:themeColor="accent4" w:themeTint="99" w:sz="4" w:space="0"/>
        <w:left w:val="single" w:color="60CAF3" w:themeColor="accent4" w:themeTint="99" w:sz="4" w:space="0"/>
        <w:bottom w:val="single" w:color="60CAF3" w:themeColor="accent4" w:themeTint="99" w:sz="4" w:space="0"/>
        <w:right w:val="single" w:color="60CAF3" w:themeColor="accent4" w:themeTint="99" w:sz="4" w:space="0"/>
        <w:insideH w:val="single" w:color="60CAF3" w:themeColor="accent4" w:themeTint="99" w:sz="4" w:space="0"/>
        <w:insideV w:val="single" w:color="60CAF3" w:themeColor="accent4" w:themeTint="99" w:sz="4" w:space="0"/>
      </w:tblBorders>
    </w:tblPr>
    <w:tblStylePr w:type="firstRow">
      <w:rPr>
        <w:b/>
        <w:bCs/>
        <w:color w:val="FFFFFF" w:themeColor="background1"/>
      </w:rPr>
      <w:tblPr/>
      <w:tcPr>
        <w:tcBorders>
          <w:top w:val="single" w:color="0F9ED5" w:themeColor="accent4" w:sz="4" w:space="0"/>
          <w:left w:val="single" w:color="0F9ED5" w:themeColor="accent4" w:sz="4" w:space="0"/>
          <w:bottom w:val="single" w:color="0F9ED5" w:themeColor="accent4" w:sz="4" w:space="0"/>
          <w:right w:val="single" w:color="0F9ED5" w:themeColor="accent4" w:sz="4" w:space="0"/>
          <w:insideH w:val="nil"/>
          <w:insideV w:val="nil"/>
        </w:tcBorders>
        <w:shd w:val="clear" w:color="auto" w:fill="0F9ED5" w:themeFill="accent4"/>
      </w:tcPr>
    </w:tblStylePr>
    <w:tblStylePr w:type="lastRow">
      <w:rPr>
        <w:b/>
        <w:bCs/>
      </w:rPr>
      <w:tblPr/>
      <w:tcPr>
        <w:tcBorders>
          <w:top w:val="double" w:color="0F9ED5" w:themeColor="accent4" w:sz="4" w:space="0"/>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paragraph" w:styleId="NormalWeb">
    <w:name w:val="Normal (Web)"/>
    <w:basedOn w:val="Normal"/>
    <w:uiPriority w:val="99"/>
    <w:semiHidden/>
    <w:unhideWhenUsed/>
    <w:rsid w:val="00BA1083"/>
    <w:rPr>
      <w:rFonts w:ascii="Times New Roman" w:hAnsi="Times New Roman" w:cs="Times New Roman"/>
    </w:rPr>
  </w:style>
  <w:style w:type="character" w:styleId="Strong">
    <w:name w:val="Strong"/>
    <w:basedOn w:val="DefaultParagraphFont"/>
    <w:uiPriority w:val="22"/>
    <w:qFormat/>
    <w:rsid w:val="00AA2BF6"/>
    <w:rPr>
      <w:b/>
      <w:bCs/>
    </w:rPr>
  </w:style>
  <w:style w:type="table" w:styleId="ListTable3-Accent1">
    <w:name w:val="List Table 3 Accent 1"/>
    <w:basedOn w:val="TableNormal"/>
    <w:uiPriority w:val="48"/>
    <w:rsid w:val="007344D4"/>
    <w:pPr>
      <w:spacing w:after="0" w:line="240" w:lineRule="auto"/>
    </w:pPr>
    <w:tblPr>
      <w:tblStyleRowBandSize w:val="1"/>
      <w:tblStyleColBandSize w:val="1"/>
      <w:tblBorders>
        <w:top w:val="single" w:color="156082" w:themeColor="accent1" w:sz="4" w:space="0"/>
        <w:left w:val="single" w:color="156082" w:themeColor="accent1" w:sz="4" w:space="0"/>
        <w:bottom w:val="single" w:color="156082" w:themeColor="accent1" w:sz="4" w:space="0"/>
        <w:right w:val="single" w:color="156082" w:themeColor="accent1" w:sz="4" w:space="0"/>
      </w:tblBorders>
    </w:tblPr>
    <w:tblStylePr w:type="firstRow">
      <w:rPr>
        <w:b/>
        <w:bCs/>
        <w:color w:val="FFFFFF" w:themeColor="background1"/>
      </w:rPr>
      <w:tblPr/>
      <w:tcPr>
        <w:shd w:val="clear" w:color="auto" w:fill="156082" w:themeFill="accent1"/>
      </w:tcPr>
    </w:tblStylePr>
    <w:tblStylePr w:type="lastRow">
      <w:rPr>
        <w:b/>
        <w:bCs/>
      </w:rPr>
      <w:tblPr/>
      <w:tcPr>
        <w:tcBorders>
          <w:top w:val="double" w:color="156082" w:themeColor="accen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156082" w:themeColor="accent1" w:sz="4" w:space="0"/>
          <w:right w:val="single" w:color="156082" w:themeColor="accent1" w:sz="4" w:space="0"/>
        </w:tcBorders>
      </w:tcPr>
    </w:tblStylePr>
    <w:tblStylePr w:type="band1Horz">
      <w:tblPr/>
      <w:tcPr>
        <w:tcBorders>
          <w:top w:val="single" w:color="156082" w:themeColor="accent1" w:sz="4" w:space="0"/>
          <w:bottom w:val="single" w:color="156082" w:themeColor="accen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156082" w:themeColor="accent1" w:sz="4" w:space="0"/>
          <w:left w:val="nil"/>
        </w:tcBorders>
      </w:tcPr>
    </w:tblStylePr>
    <w:tblStylePr w:type="swCell">
      <w:tblPr/>
      <w:tcPr>
        <w:tcBorders>
          <w:top w:val="double" w:color="156082" w:themeColor="accent1" w:sz="4" w:space="0"/>
          <w:right w:val="nil"/>
        </w:tcBorders>
      </w:tcPr>
    </w:tblStylePr>
  </w:style>
  <w:style w:type="paragraph" w:styleId="FootnoteText">
    <w:name w:val="footnote text"/>
    <w:basedOn w:val="Normal"/>
    <w:link w:val="FootnoteTextChar"/>
    <w:uiPriority w:val="99"/>
    <w:semiHidden/>
    <w:unhideWhenUsed/>
    <w:rsid w:val="006B36F8"/>
    <w:rPr>
      <w:sz w:val="20"/>
      <w:szCs w:val="20"/>
    </w:rPr>
  </w:style>
  <w:style w:type="character" w:styleId="FootnoteTextChar" w:customStyle="1">
    <w:name w:val="Footnote Text Char"/>
    <w:basedOn w:val="DefaultParagraphFont"/>
    <w:link w:val="FootnoteText"/>
    <w:uiPriority w:val="99"/>
    <w:semiHidden/>
    <w:rsid w:val="006B36F8"/>
    <w:rPr>
      <w:sz w:val="20"/>
      <w:szCs w:val="20"/>
    </w:rPr>
  </w:style>
  <w:style w:type="character" w:styleId="FootnoteReference">
    <w:name w:val="footnote reference"/>
    <w:basedOn w:val="DefaultParagraphFont"/>
    <w:uiPriority w:val="99"/>
    <w:semiHidden/>
    <w:unhideWhenUsed/>
    <w:rsid w:val="006B36F8"/>
    <w:rPr>
      <w:vertAlign w:val="superscript"/>
    </w:rPr>
  </w:style>
  <w:style w:type="character" w:styleId="Heading4Char" w:customStyle="1">
    <w:name w:val="Heading 4 Char"/>
    <w:basedOn w:val="DefaultParagraphFont"/>
    <w:link w:val="Heading4"/>
    <w:uiPriority w:val="9"/>
    <w:rsid w:val="000831ED"/>
    <w:rPr>
      <w:rFonts w:asciiTheme="majorHAnsi" w:hAnsiTheme="majorHAnsi" w:eastAsiaTheme="majorEastAsia" w:cstheme="majorBidi"/>
      <w:i/>
      <w:iCs/>
      <w:color w:val="0F4761" w:themeColor="accent1" w:themeShade="BF"/>
    </w:rPr>
  </w:style>
  <w:style w:type="table" w:styleId="GridTable5Dark-Accent1">
    <w:name w:val="Grid Table 5 Dark Accent 1"/>
    <w:basedOn w:val="TableNormal"/>
    <w:uiPriority w:val="50"/>
    <w:rsid w:val="000831ED"/>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C1E4F5" w:themeFill="accent1"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156082" w:themeFill="accent1"/>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156082" w:themeFill="accent1"/>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156082" w:themeFill="accent1"/>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paragraph" w:styleId="paragraph" w:customStyle="1">
    <w:name w:val="paragraph"/>
    <w:basedOn w:val="Normal"/>
    <w:rsid w:val="000831ED"/>
    <w:pPr>
      <w:spacing w:before="100" w:beforeAutospacing="1" w:after="100" w:afterAutospacing="1"/>
    </w:pPr>
    <w:rPr>
      <w:rFonts w:ascii="Times New Roman" w:hAnsi="Times New Roman" w:eastAsia="Times New Roman" w:cs="Times New Roman"/>
      <w:lang w:val="en-GB" w:eastAsia="en-GB"/>
    </w:rPr>
  </w:style>
  <w:style w:type="table" w:styleId="TableGridLight">
    <w:name w:val="Grid Table Light"/>
    <w:basedOn w:val="TableNormal"/>
    <w:uiPriority w:val="40"/>
    <w:rsid w:val="00BE441D"/>
    <w:pPr>
      <w:spacing w:after="0" w:line="240" w:lineRule="auto"/>
    </w:p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paragraph" w:styleId="NoSpacing">
    <w:name w:val="No Spacing"/>
    <w:uiPriority w:val="1"/>
    <w:qFormat/>
    <w:rsid w:val="00D34CBF"/>
    <w:pPr>
      <w:spacing w:after="0" w:line="240" w:lineRule="auto"/>
    </w:pPr>
    <w:rPr>
      <w:rFonts w:ascii="Arial" w:hAnsi="Arial" w:eastAsia="Times New Roman" w:cs="Times New Roman"/>
      <w:szCs w:val="2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606740">
      <w:marLeft w:val="0"/>
      <w:marRight w:val="0"/>
      <w:marTop w:val="0"/>
      <w:marBottom w:val="0"/>
      <w:divBdr>
        <w:top w:val="none" w:sz="0" w:space="0" w:color="auto"/>
        <w:left w:val="none" w:sz="0" w:space="0" w:color="auto"/>
        <w:bottom w:val="single" w:sz="8" w:space="1" w:color="156082"/>
        <w:right w:val="none" w:sz="0" w:space="0" w:color="auto"/>
      </w:divBdr>
    </w:div>
    <w:div w:id="1254707961">
      <w:marLeft w:val="0"/>
      <w:marRight w:val="0"/>
      <w:marTop w:val="0"/>
      <w:marBottom w:val="0"/>
      <w:divBdr>
        <w:top w:val="none" w:sz="0" w:space="0" w:color="auto"/>
        <w:left w:val="none" w:sz="0" w:space="0" w:color="auto"/>
        <w:bottom w:val="single" w:sz="8" w:space="1" w:color="156082"/>
        <w:right w:val="none" w:sz="0" w:space="0" w:color="auto"/>
      </w:divBdr>
    </w:div>
    <w:div w:id="1632706560">
      <w:marLeft w:val="0"/>
      <w:marRight w:val="0"/>
      <w:marTop w:val="0"/>
      <w:marBottom w:val="0"/>
      <w:divBdr>
        <w:top w:val="none" w:sz="0" w:space="0" w:color="auto"/>
        <w:left w:val="none" w:sz="0" w:space="0" w:color="auto"/>
        <w:bottom w:val="single" w:sz="8" w:space="1" w:color="156082"/>
        <w:right w:val="none" w:sz="0" w:space="0" w:color="auto"/>
      </w:divBdr>
    </w:div>
    <w:div w:id="1687053682">
      <w:marLeft w:val="0"/>
      <w:marRight w:val="0"/>
      <w:marTop w:val="0"/>
      <w:marBottom w:val="0"/>
      <w:divBdr>
        <w:top w:val="none" w:sz="0" w:space="0" w:color="auto"/>
        <w:left w:val="none" w:sz="0" w:space="0" w:color="auto"/>
        <w:bottom w:val="single" w:sz="8" w:space="1" w:color="156082"/>
        <w:right w:val="none" w:sz="0" w:space="0" w:color="auto"/>
      </w:divBdr>
    </w:div>
    <w:div w:id="2027752492">
      <w:marLeft w:val="0"/>
      <w:marRight w:val="0"/>
      <w:marTop w:val="0"/>
      <w:marBottom w:val="0"/>
      <w:divBdr>
        <w:top w:val="none" w:sz="0" w:space="0" w:color="auto"/>
        <w:left w:val="none" w:sz="0" w:space="0" w:color="auto"/>
        <w:bottom w:val="single" w:sz="8" w:space="1" w:color="156082"/>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3.png" Id="rId13" /><Relationship Type="http://schemas.openxmlformats.org/officeDocument/2006/relationships/header" Target="header3.xml" Id="rId18" /><Relationship Type="http://schemas.openxmlformats.org/officeDocument/2006/relationships/hyperlink" Target="https://derivation.esd.org.uk/?metricType=17423&amp;period=Month_2026_May&amp;area=E10000013&amp;outputType=both&amp;organisationID=Gloucestershire&amp;withArea=&amp;withPeriod=&amp;methodType=none" TargetMode="External" Id="rId26" /><Relationship Type="http://schemas.openxmlformats.org/officeDocument/2006/relationships/customXml" Target="../customXml/item3.xml" Id="rId3" /><Relationship Type="http://schemas.openxmlformats.org/officeDocument/2006/relationships/hyperlink" Target="https://derivation.esd.org.uk/?metricType=17326&amp;period=Month_2026_May&amp;area=E10000013&amp;outputType=both&amp;organisationID=Gloucestershire&amp;withArea=&amp;withPeriod=&amp;methodType=none" TargetMode="External" Id="rId21" /><Relationship Type="http://schemas.openxmlformats.org/officeDocument/2006/relationships/fontTable" Target="fontTable.xml" Id="rId34"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header" Target="header2.xml" Id="rId17" /><Relationship Type="http://schemas.openxmlformats.org/officeDocument/2006/relationships/hyperlink" Target="https://derivation.esd.org.uk/?metricType=17422&amp;period=Month_2026_May&amp;area=E10000013&amp;outputType=both&amp;organisationID=Gloucestershire&amp;withArea=&amp;withPeriod=&amp;methodType=none" TargetMode="External" Id="rId25" /><Relationship Type="http://schemas.openxmlformats.org/officeDocument/2006/relationships/footer" Target="footer1.xml" Id="rId33" /><Relationship Type="http://schemas.openxmlformats.org/officeDocument/2006/relationships/customXml" Target="../customXml/item2.xml" Id="rId2" /><Relationship Type="http://schemas.openxmlformats.org/officeDocument/2006/relationships/header" Target="header1.xml" Id="rId16" /><Relationship Type="http://schemas.openxmlformats.org/officeDocument/2006/relationships/hyperlink" Target="https://derivation.esd.org.uk/?metricType=17325&amp;period=Month_2026_May&amp;area=E10000013&amp;outputType=both&amp;organisationID=Gloucestershire&amp;withArea=&amp;withPeriod=&amp;methodType=none" TargetMode="External" Id="rId20" /><Relationship Type="http://schemas.openxmlformats.org/officeDocument/2006/relationships/hyperlink" Target="https://derivation.esd.org.uk/?metricType=17426&amp;period=Month_2026_May&amp;area=E10000013&amp;outputType=both&amp;organisationID=Gloucestershire&amp;withArea=&amp;withPeriod=&amp;methodType=none" TargetMode="External" Id="rId29"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hyperlink" Target="https://derivation.esd.org.uk/?metricType=17420&amp;period=Month_2026_May&amp;area=E10000013&amp;outputType=both&amp;organisationID=Gloucestershire&amp;withArea=&amp;withPeriod=&amp;methodType=none" TargetMode="External" Id="rId24" /><Relationship Type="http://schemas.openxmlformats.org/officeDocument/2006/relationships/image" Target="media/image6.png" Id="rId32" /><Relationship Type="http://schemas.openxmlformats.org/officeDocument/2006/relationships/numbering" Target="numbering.xml" Id="rId5" /><Relationship Type="http://schemas.openxmlformats.org/officeDocument/2006/relationships/image" Target="media/image5.png" Id="rId15" /><Relationship Type="http://schemas.openxmlformats.org/officeDocument/2006/relationships/hyperlink" Target="https://derivation.esd.org.uk/?metricType=17419&amp;period=Month_2026_May&amp;area=E10000013&amp;outputType=both&amp;organisationID=Gloucestershire&amp;withArea=&amp;withPeriod=&amp;methodType=none" TargetMode="External" Id="rId23" /><Relationship Type="http://schemas.openxmlformats.org/officeDocument/2006/relationships/hyperlink" Target="https://derivation.esd.org.uk/?metricType=17425&amp;period=Month_2026_May&amp;area=E10000013&amp;outputType=both&amp;organisationID=Gloucestershire&amp;withArea=&amp;withPeriod=&amp;methodType=none" TargetMode="External" Id="rId28" /><Relationship Type="http://schemas.openxmlformats.org/officeDocument/2006/relationships/endnotes" Target="endnotes.xml" Id="rId10" /><Relationship Type="http://schemas.openxmlformats.org/officeDocument/2006/relationships/image" Target="media/image5.jpeg" Id="rId19" /><Relationship Type="http://schemas.openxmlformats.org/officeDocument/2006/relationships/hyperlink" Target="https://derivation.esd.org.uk/?metricType=17428&amp;period=Month_2026_May&amp;area=E10000013&amp;outputType=both&amp;organisationID=Gloucestershire&amp;withArea=&amp;withPeriod=&amp;methodType=none" TargetMode="External" Id="rId31"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40.png" Id="rId14" /><Relationship Type="http://schemas.openxmlformats.org/officeDocument/2006/relationships/hyperlink" Target="https://derivation.esd.org.uk/?metricType=17327&amp;period=Month_2026_May&amp;area=E10000013&amp;outputType=both&amp;organisationID=Gloucestershire&amp;withArea=&amp;withPeriod=&amp;methodType=none" TargetMode="External" Id="rId22" /><Relationship Type="http://schemas.openxmlformats.org/officeDocument/2006/relationships/hyperlink" Target="https://derivation.esd.org.uk/?metricType=17424&amp;period=Month_2026_May&amp;area=E10000013&amp;outputType=both&amp;organisationID=Gloucestershire&amp;withArea=&amp;withPeriod=&amp;methodType=none" TargetMode="External" Id="rId27" /><Relationship Type="http://schemas.openxmlformats.org/officeDocument/2006/relationships/hyperlink" Target="https://derivation.esd.org.uk/?metricType=17427&amp;period=Month_2026_May&amp;area=E10000013&amp;outputType=both&amp;organisationID=Gloucestershire&amp;withArea=&amp;withPeriod=&amp;methodType=none" TargetMode="External" Id="rId30" /><Relationship Type="http://schemas.openxmlformats.org/officeDocument/2006/relationships/theme" Target="theme/theme1.xml" Id="rId35" /><Relationship Type="http://schemas.openxmlformats.org/officeDocument/2006/relationships/webSettings" Target="webSettings.xml" Id="rId8" /><Relationship Type="http://schemas.openxmlformats.org/officeDocument/2006/relationships/image" Target="/media/image8.png" Id="rId1764003610" /></Relationships>
</file>

<file path=word/_rels/footnotes.xml.rels><?xml version="1.0" encoding="UTF-8" standalone="yes"?>
<Relationships xmlns="http://schemas.openxmlformats.org/package/2006/relationships"><Relationship Id="rId2" Type="http://schemas.openxmlformats.org/officeDocument/2006/relationships/hyperlink" Target="https://www.gov.uk/government/publications/adult-social-care-market-shaping/adult-social-care-market-shaping" TargetMode="External"/><Relationship Id="rId1" Type="http://schemas.openxmlformats.org/officeDocument/2006/relationships/hyperlink" Target="https://www.gloucestershire.gov.uk/health-and-social-care/gloucestershire-market-position-statement-mps-2024/"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3CCADC3B0DF3AF42BD1FD23FA7DCD1D5" ma:contentTypeVersion="8" ma:contentTypeDescription="Create a new document." ma:contentTypeScope="" ma:versionID="706d9e40bb4c50f161fddad8c11a846c">
  <xsd:schema xmlns:xsd="http://www.w3.org/2001/XMLSchema" xmlns:xs="http://www.w3.org/2001/XMLSchema" xmlns:p="http://schemas.microsoft.com/office/2006/metadata/properties" xmlns:ns2="15a1ae53-cdd3-43b8-8353-10130bfa9cbe" targetNamespace="http://schemas.microsoft.com/office/2006/metadata/properties" ma:root="true" ma:fieldsID="f903021bc606351315ec6d2aa66776bf" ns2:_="">
    <xsd:import namespace="15a1ae53-cdd3-43b8-8353-10130bfa9cb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a1ae53-cdd3-43b8-8353-10130bfa9c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3943E41-D572-4097-A8EE-DCE45D706A2C}">
  <ds:schemaRefs>
    <ds:schemaRef ds:uri="http://schemas.openxmlformats.org/officeDocument/2006/bibliography"/>
  </ds:schemaRefs>
</ds:datastoreItem>
</file>

<file path=customXml/itemProps2.xml><?xml version="1.0" encoding="utf-8"?>
<ds:datastoreItem xmlns:ds="http://schemas.openxmlformats.org/officeDocument/2006/customXml" ds:itemID="{13B5265F-94A5-43B7-987E-84A8BBFB21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a1ae53-cdd3-43b8-8353-10130bfa9c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B1C6BD6-04CE-45E6-B5D4-A8732D08830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72E33FB-8824-4F2F-8CA3-68E26F712215}">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THOMAS, Georgia (Democratic Services)</cp:lastModifiedBy>
  <cp:revision>10</cp:revision>
  <dcterms:created xsi:type="dcterms:W3CDTF">2026-06-07T15:21:00Z</dcterms:created>
  <dcterms:modified xsi:type="dcterms:W3CDTF">2026-08-12T10:25:26Z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0x0101003CCADC3B0DF3AF42BD1FD23FA7DCD1D5</vt:lpwstr>
  </property>
  <property fmtid="{D5CDD505-2E9C-101B-9397-08002B2CF9AE}" pid="4" name="docLang">
    <vt:lpwstr>en</vt:lpwstr>
  </property>
</Properties>
</file>