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DED84" w14:textId="77777777" w:rsidR="002E62CB" w:rsidRPr="0081796A" w:rsidRDefault="002E62CB" w:rsidP="002E62CB">
      <w:pPr>
        <w:autoSpaceDE w:val="0"/>
        <w:autoSpaceDN w:val="0"/>
        <w:adjustRightInd w:val="0"/>
        <w:spacing w:after="240" w:line="288" w:lineRule="auto"/>
        <w:ind w:left="-23"/>
        <w:rPr>
          <w:rFonts w:ascii="Arial" w:eastAsia="Times New Roman" w:hAnsi="Arial" w:cs="Arial"/>
          <w:b/>
          <w:color w:val="000000"/>
          <w:sz w:val="24"/>
          <w:szCs w:val="24"/>
          <w:lang w:eastAsia="en-GB"/>
        </w:rPr>
      </w:pPr>
      <w:r w:rsidRPr="0081796A">
        <w:rPr>
          <w:rFonts w:ascii="Arial" w:eastAsia="Times New Roman" w:hAnsi="Arial" w:cs="Arial"/>
          <w:b/>
          <w:color w:val="000000"/>
          <w:sz w:val="24"/>
          <w:szCs w:val="24"/>
          <w:lang w:eastAsia="en-GB"/>
        </w:rPr>
        <w:t>(7b)</w:t>
      </w:r>
      <w:r w:rsidRPr="0081796A">
        <w:rPr>
          <w:rFonts w:ascii="Arial" w:eastAsia="Times New Roman" w:hAnsi="Arial" w:cs="Arial"/>
          <w:b/>
          <w:color w:val="000000"/>
          <w:sz w:val="24"/>
          <w:szCs w:val="24"/>
          <w:lang w:eastAsia="en-GB"/>
        </w:rPr>
        <w:tab/>
        <w:t>Local Government Transparency Code 2015</w:t>
      </w:r>
    </w:p>
    <w:p w14:paraId="46ADCEDF" w14:textId="77777777" w:rsidR="002E62CB" w:rsidRPr="0081796A" w:rsidRDefault="002E62CB" w:rsidP="002E62CB">
      <w:pPr>
        <w:spacing w:after="240" w:line="288" w:lineRule="auto"/>
        <w:rPr>
          <w:rFonts w:ascii="Arial" w:eastAsia="Times New Roman" w:hAnsi="Arial" w:cs="Arial"/>
          <w:b/>
          <w:color w:val="000000"/>
          <w:sz w:val="24"/>
          <w:szCs w:val="24"/>
          <w:lang w:eastAsia="en-GB"/>
        </w:rPr>
      </w:pPr>
      <w:r w:rsidRPr="0081796A">
        <w:rPr>
          <w:rFonts w:ascii="Arial" w:eastAsia="Times New Roman" w:hAnsi="Arial" w:cs="Arial"/>
          <w:b/>
          <w:color w:val="000000"/>
          <w:sz w:val="24"/>
          <w:szCs w:val="24"/>
          <w:lang w:eastAsia="en-GB"/>
        </w:rPr>
        <w:t>Introduction</w:t>
      </w:r>
    </w:p>
    <w:p w14:paraId="14E62CD6" w14:textId="77777777" w:rsidR="002E62CB" w:rsidRPr="0081796A" w:rsidRDefault="002E62CB" w:rsidP="002E62CB">
      <w:pPr>
        <w:spacing w:after="240" w:line="288" w:lineRule="auto"/>
        <w:rPr>
          <w:rFonts w:ascii="Arial" w:eastAsia="Times New Roman" w:hAnsi="Arial" w:cs="Arial"/>
          <w:color w:val="000000"/>
          <w:sz w:val="24"/>
          <w:szCs w:val="24"/>
          <w:lang w:eastAsia="en-GB"/>
        </w:rPr>
      </w:pPr>
      <w:r w:rsidRPr="0081796A">
        <w:rPr>
          <w:rFonts w:ascii="Arial" w:eastAsia="Times New Roman" w:hAnsi="Arial" w:cs="Arial"/>
          <w:color w:val="000000"/>
          <w:sz w:val="24"/>
          <w:szCs w:val="24"/>
          <w:lang w:eastAsia="en-GB"/>
        </w:rPr>
        <w:t xml:space="preserve">This Code is issued to meet the Government’s desire to place more power into citizens’ hands to increase democratic accountability and make it easier for local people to contribute to the local </w:t>
      </w:r>
      <w:proofErr w:type="gramStart"/>
      <w:r w:rsidRPr="0081796A">
        <w:rPr>
          <w:rFonts w:ascii="Arial" w:eastAsia="Times New Roman" w:hAnsi="Arial" w:cs="Arial"/>
          <w:color w:val="000000"/>
          <w:sz w:val="24"/>
          <w:szCs w:val="24"/>
          <w:lang w:eastAsia="en-GB"/>
        </w:rPr>
        <w:t>decision making</w:t>
      </w:r>
      <w:proofErr w:type="gramEnd"/>
      <w:r w:rsidRPr="0081796A">
        <w:rPr>
          <w:rFonts w:ascii="Arial" w:eastAsia="Times New Roman" w:hAnsi="Arial" w:cs="Arial"/>
          <w:color w:val="000000"/>
          <w:sz w:val="24"/>
          <w:szCs w:val="24"/>
          <w:lang w:eastAsia="en-GB"/>
        </w:rPr>
        <w:t xml:space="preserve"> process and help shape public services.  </w:t>
      </w:r>
    </w:p>
    <w:p w14:paraId="5D52CFD4" w14:textId="77777777" w:rsidR="002E62CB" w:rsidRPr="0081796A" w:rsidRDefault="002E62CB" w:rsidP="002E62CB">
      <w:pPr>
        <w:spacing w:after="240" w:line="288" w:lineRule="auto"/>
        <w:rPr>
          <w:rFonts w:ascii="Arial" w:eastAsia="Times New Roman" w:hAnsi="Arial" w:cs="Arial"/>
          <w:color w:val="000000"/>
          <w:sz w:val="24"/>
          <w:szCs w:val="24"/>
          <w:lang w:eastAsia="en-GB"/>
        </w:rPr>
      </w:pPr>
      <w:r w:rsidRPr="0081796A">
        <w:rPr>
          <w:rFonts w:ascii="Arial" w:eastAsia="Times New Roman" w:hAnsi="Arial" w:cs="Arial"/>
          <w:color w:val="000000"/>
          <w:sz w:val="24"/>
          <w:szCs w:val="24"/>
          <w:lang w:eastAsia="en-GB"/>
        </w:rPr>
        <w:t>Transparency is the foundation of local accountability and the key that gives people the tools and information they need to enable them to play a bigger role in society.  The availability of data can also open new markets for local business, the voluntary and community sectors and social enterprises to run services or manage public assets.</w:t>
      </w:r>
    </w:p>
    <w:p w14:paraId="4CFBD9CC" w14:textId="77777777" w:rsidR="002E62CB" w:rsidRPr="0081796A" w:rsidRDefault="002E62CB" w:rsidP="002E62CB">
      <w:pPr>
        <w:spacing w:after="240" w:line="288" w:lineRule="auto"/>
        <w:rPr>
          <w:rFonts w:ascii="Arial" w:eastAsia="Times New Roman" w:hAnsi="Arial" w:cs="Arial"/>
          <w:b/>
          <w:color w:val="000000"/>
          <w:sz w:val="24"/>
          <w:szCs w:val="24"/>
          <w:lang w:eastAsia="en-GB"/>
        </w:rPr>
      </w:pPr>
      <w:r w:rsidRPr="0081796A">
        <w:rPr>
          <w:rFonts w:ascii="Arial" w:eastAsia="Times New Roman" w:hAnsi="Arial" w:cs="Arial"/>
          <w:b/>
          <w:color w:val="000000"/>
          <w:sz w:val="24"/>
          <w:szCs w:val="24"/>
          <w:lang w:eastAsia="en-GB"/>
        </w:rPr>
        <w:t>Detecting and preventing fraud (taken from Annex B of code)</w:t>
      </w:r>
    </w:p>
    <w:p w14:paraId="74DF4285" w14:textId="77777777" w:rsidR="002E62CB" w:rsidRPr="0081796A" w:rsidRDefault="002E62CB" w:rsidP="002E62CB">
      <w:pPr>
        <w:spacing w:after="240" w:line="288" w:lineRule="auto"/>
        <w:rPr>
          <w:rFonts w:ascii="Arial" w:eastAsia="Times New Roman" w:hAnsi="Arial" w:cs="Arial"/>
          <w:color w:val="000000"/>
          <w:sz w:val="24"/>
          <w:szCs w:val="24"/>
          <w:lang w:eastAsia="en-GB"/>
        </w:rPr>
      </w:pPr>
      <w:r w:rsidRPr="0081796A">
        <w:rPr>
          <w:rFonts w:ascii="Arial" w:eastAsia="Times New Roman" w:hAnsi="Arial" w:cs="Arial"/>
          <w:color w:val="000000"/>
          <w:sz w:val="24"/>
          <w:szCs w:val="24"/>
          <w:lang w:eastAsia="en-GB"/>
        </w:rPr>
        <w:t xml:space="preserve">Tackling fraud is an integral part of ensuring that taxpayers’ money is used to protect resources for frontline services.  The cost of fraud to local government was estimated within the FFCL strategy in </w:t>
      </w:r>
      <w:r>
        <w:rPr>
          <w:rFonts w:ascii="Arial" w:eastAsia="Times New Roman" w:hAnsi="Arial" w:cs="Arial"/>
          <w:color w:val="000000"/>
          <w:sz w:val="24"/>
          <w:szCs w:val="24"/>
          <w:lang w:eastAsia="en-GB"/>
        </w:rPr>
        <w:t>2020</w:t>
      </w:r>
      <w:r w:rsidRPr="0081796A">
        <w:rPr>
          <w:rFonts w:ascii="Arial" w:eastAsia="Times New Roman" w:hAnsi="Arial" w:cs="Arial"/>
          <w:color w:val="000000"/>
          <w:sz w:val="24"/>
          <w:szCs w:val="24"/>
          <w:lang w:eastAsia="en-GB"/>
        </w:rPr>
        <w:t xml:space="preserve"> as £2.1 billion a year although it was thought to be underestimated at the time. In 2017 </w:t>
      </w:r>
      <w:r w:rsidRPr="0081796A">
        <w:rPr>
          <w:rFonts w:ascii="Arial" w:eastAsiaTheme="minorEastAsia" w:hAnsi="Arial" w:cs="Arial"/>
          <w:sz w:val="24"/>
          <w:szCs w:val="24"/>
          <w:lang w:eastAsia="en-GB"/>
        </w:rPr>
        <w:t>the Annual Fraud Indicator produced by Crowe Clark Whitehill, in collaboration with Experian and the Centre for Counter Fraud studies at the University of Portsmouth, estimated that the true figure may be as high as £7.8bn from a total of £40.4bn for the public sector as a whole. Every pound lost to fraud is a pound not spent on supporting local communities and is money that can be better used to support the delivery of front-line services and make savings for local taxpayers.</w:t>
      </w:r>
      <w:r w:rsidRPr="0081796A">
        <w:rPr>
          <w:rFonts w:ascii="Arial" w:eastAsia="Times New Roman" w:hAnsi="Arial" w:cs="Arial"/>
          <w:color w:val="000000"/>
          <w:sz w:val="24"/>
          <w:szCs w:val="24"/>
          <w:lang w:eastAsia="en-GB"/>
        </w:rPr>
        <w:t xml:space="preserve"> </w:t>
      </w:r>
    </w:p>
    <w:p w14:paraId="3407D93C" w14:textId="77777777" w:rsidR="002E62CB" w:rsidRPr="0081796A" w:rsidRDefault="002E62CB" w:rsidP="002E62CB">
      <w:pPr>
        <w:spacing w:after="240" w:line="288" w:lineRule="auto"/>
        <w:rPr>
          <w:rFonts w:ascii="Arial" w:eastAsia="Times New Roman" w:hAnsi="Arial" w:cs="Arial"/>
          <w:color w:val="000000"/>
          <w:sz w:val="24"/>
          <w:szCs w:val="24"/>
          <w:lang w:eastAsia="en-GB"/>
        </w:rPr>
      </w:pPr>
      <w:r w:rsidRPr="0081796A">
        <w:rPr>
          <w:rFonts w:ascii="Arial" w:eastAsia="Times New Roman" w:hAnsi="Arial" w:cs="Arial"/>
          <w:color w:val="000000"/>
          <w:sz w:val="24"/>
          <w:szCs w:val="24"/>
          <w:lang w:eastAsia="en-GB"/>
        </w:rPr>
        <w:t>A culture of transparency should strengthen counter-fraud controls.  The Code makes it clear that fraud can thrive where decisions are not open to scrutiny and details of spending, contracts and service provision are hidden from view.  Greater transparency, and the provisions in this Code, can help combat fraud.</w:t>
      </w:r>
    </w:p>
    <w:p w14:paraId="2E3DD312" w14:textId="77777777" w:rsidR="002E62CB" w:rsidRDefault="002E62CB">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6CBC507C" w14:textId="416A44D8" w:rsidR="00AF2126" w:rsidRDefault="00AF2126" w:rsidP="00AF2126">
      <w:pPr>
        <w:spacing w:after="240" w:line="288" w:lineRule="auto"/>
        <w:rPr>
          <w:rFonts w:ascii="Arial" w:eastAsia="Times New Roman" w:hAnsi="Arial" w:cs="Arial"/>
          <w:b/>
          <w:color w:val="FF0000"/>
          <w:sz w:val="24"/>
          <w:szCs w:val="24"/>
          <w:lang w:eastAsia="en-GB"/>
        </w:rPr>
      </w:pPr>
      <w:r>
        <w:rPr>
          <w:rFonts w:ascii="Arial" w:eastAsia="Times New Roman" w:hAnsi="Arial" w:cs="Arial"/>
          <w:b/>
          <w:sz w:val="24"/>
          <w:szCs w:val="24"/>
          <w:lang w:eastAsia="en-GB"/>
        </w:rPr>
        <w:lastRenderedPageBreak/>
        <w:t>Council wide fraud and irregularity activity relating to 202</w:t>
      </w:r>
      <w:r w:rsidR="002C4766">
        <w:rPr>
          <w:rFonts w:ascii="Arial" w:eastAsia="Times New Roman" w:hAnsi="Arial" w:cs="Arial"/>
          <w:b/>
          <w:sz w:val="24"/>
          <w:szCs w:val="24"/>
          <w:lang w:eastAsia="en-GB"/>
        </w:rPr>
        <w:t>3</w:t>
      </w:r>
      <w:r>
        <w:rPr>
          <w:rFonts w:ascii="Arial" w:eastAsia="Times New Roman" w:hAnsi="Arial" w:cs="Arial"/>
          <w:b/>
          <w:sz w:val="24"/>
          <w:szCs w:val="24"/>
          <w:lang w:eastAsia="en-GB"/>
        </w:rPr>
        <w:t>/202</w:t>
      </w:r>
      <w:r w:rsidR="002C4766">
        <w:rPr>
          <w:rFonts w:ascii="Arial" w:eastAsia="Times New Roman" w:hAnsi="Arial" w:cs="Arial"/>
          <w:b/>
          <w:sz w:val="24"/>
          <w:szCs w:val="24"/>
          <w:lang w:eastAsia="en-GB"/>
        </w:rPr>
        <w:t>4</w:t>
      </w:r>
      <w:r>
        <w:rPr>
          <w:rFonts w:ascii="Arial" w:eastAsia="Times New Roman" w:hAnsi="Arial" w:cs="Arial"/>
          <w:b/>
          <w:sz w:val="24"/>
          <w:szCs w:val="24"/>
          <w:lang w:eastAsia="en-GB"/>
        </w:rPr>
        <w:t xml:space="preserve"> including Internal Audit activity </w:t>
      </w:r>
    </w:p>
    <w:tbl>
      <w:tblPr>
        <w:tblW w:w="0" w:type="auto"/>
        <w:tblCellMar>
          <w:left w:w="0" w:type="dxa"/>
          <w:right w:w="0" w:type="dxa"/>
        </w:tblCellMar>
        <w:tblLook w:val="04A0" w:firstRow="1" w:lastRow="0" w:firstColumn="1" w:lastColumn="0" w:noHBand="0" w:noVBand="1"/>
      </w:tblPr>
      <w:tblGrid>
        <w:gridCol w:w="5751"/>
        <w:gridCol w:w="3255"/>
      </w:tblGrid>
      <w:tr w:rsidR="00AF2126" w14:paraId="16C792E8" w14:textId="77777777" w:rsidTr="00CD5ACB">
        <w:tc>
          <w:tcPr>
            <w:tcW w:w="57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F689418" w14:textId="77777777" w:rsidR="00AF2126" w:rsidRDefault="00AF2126" w:rsidP="00CD5ACB">
            <w:pPr>
              <w:spacing w:after="240" w:line="288" w:lineRule="auto"/>
              <w:jc w:val="center"/>
              <w:rPr>
                <w:rFonts w:ascii="Arial" w:hAnsi="Arial" w:cs="Arial"/>
                <w:b/>
                <w:bCs/>
                <w:sz w:val="24"/>
                <w:szCs w:val="24"/>
                <w:lang w:eastAsia="en-GB"/>
              </w:rPr>
            </w:pPr>
            <w:r>
              <w:rPr>
                <w:rFonts w:ascii="Arial" w:hAnsi="Arial" w:cs="Arial"/>
                <w:b/>
                <w:bCs/>
                <w:sz w:val="24"/>
                <w:szCs w:val="24"/>
                <w:lang w:eastAsia="en-GB"/>
              </w:rPr>
              <w:t xml:space="preserve">Question </w:t>
            </w:r>
          </w:p>
        </w:tc>
        <w:tc>
          <w:tcPr>
            <w:tcW w:w="325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A0617B0" w14:textId="1F2B847E" w:rsidR="00AF2126" w:rsidRDefault="00AF2126" w:rsidP="00C01300">
            <w:pPr>
              <w:spacing w:after="240" w:line="288" w:lineRule="auto"/>
              <w:jc w:val="center"/>
              <w:rPr>
                <w:rFonts w:ascii="Arial" w:hAnsi="Arial" w:cs="Arial"/>
                <w:b/>
                <w:bCs/>
                <w:sz w:val="24"/>
                <w:szCs w:val="24"/>
                <w:lang w:eastAsia="en-GB"/>
              </w:rPr>
            </w:pPr>
            <w:r>
              <w:rPr>
                <w:rFonts w:ascii="Arial" w:hAnsi="Arial" w:cs="Arial"/>
                <w:b/>
                <w:bCs/>
                <w:sz w:val="24"/>
                <w:szCs w:val="24"/>
                <w:lang w:eastAsia="en-GB"/>
              </w:rPr>
              <w:t>Gloucestershire County Council Response</w:t>
            </w:r>
          </w:p>
        </w:tc>
      </w:tr>
      <w:tr w:rsidR="00AF2126" w14:paraId="55DFC66B" w14:textId="77777777" w:rsidTr="00CD5ACB">
        <w:tc>
          <w:tcPr>
            <w:tcW w:w="5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B8B34" w14:textId="77777777" w:rsidR="00AF2126" w:rsidRDefault="00AF2126" w:rsidP="00CD5ACB">
            <w:pPr>
              <w:spacing w:before="40" w:after="60"/>
              <w:rPr>
                <w:rFonts w:ascii="Arial" w:hAnsi="Arial" w:cs="Arial"/>
                <w:sz w:val="24"/>
                <w:szCs w:val="24"/>
                <w:lang w:eastAsia="en-GB"/>
              </w:rPr>
            </w:pPr>
            <w:r>
              <w:rPr>
                <w:rFonts w:ascii="Arial" w:hAnsi="Arial" w:cs="Arial"/>
                <w:sz w:val="24"/>
                <w:szCs w:val="24"/>
                <w:lang w:eastAsia="en-GB"/>
              </w:rPr>
              <w:t>Number of occasions they use powers under the Prevention of Social Housing Fraud (Power to Require Information) (England) Regulations 2014, or similar powers.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14:paraId="2FF7F0DB" w14:textId="77777777" w:rsidR="00AF2126" w:rsidRDefault="00AF2126" w:rsidP="00CD5ACB">
            <w:pPr>
              <w:spacing w:before="40" w:after="60"/>
              <w:jc w:val="center"/>
              <w:rPr>
                <w:rFonts w:ascii="Arial" w:hAnsi="Arial" w:cs="Arial"/>
                <w:color w:val="FF0000"/>
                <w:sz w:val="24"/>
                <w:szCs w:val="24"/>
                <w:lang w:eastAsia="en-GB"/>
              </w:rPr>
            </w:pPr>
            <w:r>
              <w:rPr>
                <w:rFonts w:ascii="Arial" w:hAnsi="Arial" w:cs="Arial"/>
                <w:sz w:val="24"/>
                <w:szCs w:val="24"/>
                <w:lang w:eastAsia="en-GB"/>
              </w:rPr>
              <w:t>0</w:t>
            </w:r>
          </w:p>
        </w:tc>
      </w:tr>
      <w:tr w:rsidR="00AF2126" w14:paraId="07C58A1A" w14:textId="77777777" w:rsidTr="00CD5ACB">
        <w:trPr>
          <w:trHeight w:val="782"/>
        </w:trPr>
        <w:tc>
          <w:tcPr>
            <w:tcW w:w="5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BD971" w14:textId="77777777" w:rsidR="00AF2126" w:rsidRDefault="00AF2126" w:rsidP="00CD5ACB">
            <w:pPr>
              <w:spacing w:before="40" w:after="60"/>
              <w:rPr>
                <w:rFonts w:ascii="Arial" w:hAnsi="Arial" w:cs="Arial"/>
                <w:sz w:val="24"/>
                <w:szCs w:val="24"/>
                <w:lang w:eastAsia="en-GB"/>
              </w:rPr>
            </w:pPr>
            <w:r>
              <w:rPr>
                <w:rFonts w:ascii="Arial" w:hAnsi="Arial" w:cs="Arial"/>
                <w:sz w:val="24"/>
                <w:szCs w:val="24"/>
                <w:lang w:eastAsia="en-GB"/>
              </w:rPr>
              <w:t>Total number (absolute and full time equivalent) of employees undertaking investigations and prosecutions of fraud.</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14:paraId="1B6188B0" w14:textId="52703F1A" w:rsidR="00AF2126" w:rsidRPr="00D12155" w:rsidRDefault="00AF2126" w:rsidP="00CD5ACB">
            <w:pPr>
              <w:spacing w:before="40" w:after="60"/>
              <w:jc w:val="center"/>
              <w:rPr>
                <w:rFonts w:ascii="Arial" w:hAnsi="Arial" w:cs="Arial"/>
                <w:color w:val="FF0000"/>
                <w:sz w:val="24"/>
                <w:szCs w:val="24"/>
                <w:lang w:eastAsia="en-GB"/>
              </w:rPr>
            </w:pPr>
            <w:r w:rsidRPr="00D12155">
              <w:rPr>
                <w:rFonts w:ascii="Arial" w:hAnsi="Arial" w:cs="Arial"/>
                <w:sz w:val="24"/>
                <w:szCs w:val="24"/>
                <w:lang w:eastAsia="en-GB"/>
              </w:rPr>
              <w:t xml:space="preserve">The Council has access to </w:t>
            </w:r>
            <w:r w:rsidR="002C4766">
              <w:rPr>
                <w:rFonts w:ascii="Arial" w:hAnsi="Arial" w:cs="Arial"/>
                <w:sz w:val="24"/>
                <w:szCs w:val="24"/>
                <w:lang w:eastAsia="en-GB"/>
              </w:rPr>
              <w:t>3</w:t>
            </w:r>
            <w:r w:rsidR="00964B56" w:rsidRPr="00D12155">
              <w:rPr>
                <w:rFonts w:ascii="Arial" w:hAnsi="Arial" w:cs="Arial"/>
                <w:sz w:val="24"/>
                <w:szCs w:val="24"/>
                <w:lang w:eastAsia="en-GB"/>
              </w:rPr>
              <w:t xml:space="preserve"> accredited counter fraud specialists / investigators</w:t>
            </w:r>
            <w:r w:rsidRPr="00D12155">
              <w:rPr>
                <w:rFonts w:ascii="Arial" w:hAnsi="Arial" w:cs="Arial"/>
                <w:sz w:val="24"/>
                <w:szCs w:val="24"/>
                <w:lang w:eastAsia="en-GB"/>
              </w:rPr>
              <w:t xml:space="preserve"> (</w:t>
            </w:r>
            <w:r w:rsidR="002C4766">
              <w:rPr>
                <w:rFonts w:ascii="Arial" w:hAnsi="Arial" w:cs="Arial"/>
                <w:sz w:val="24"/>
                <w:szCs w:val="24"/>
                <w:lang w:eastAsia="en-GB"/>
              </w:rPr>
              <w:t>2.7</w:t>
            </w:r>
            <w:r w:rsidRPr="00D12155">
              <w:rPr>
                <w:rFonts w:ascii="Arial" w:hAnsi="Arial" w:cs="Arial"/>
                <w:sz w:val="24"/>
                <w:szCs w:val="24"/>
                <w:lang w:eastAsia="en-GB"/>
              </w:rPr>
              <w:t xml:space="preserve"> FTE).</w:t>
            </w:r>
          </w:p>
        </w:tc>
      </w:tr>
      <w:tr w:rsidR="00AF2126" w14:paraId="7C3EDC69" w14:textId="77777777" w:rsidTr="00CD5ACB">
        <w:tc>
          <w:tcPr>
            <w:tcW w:w="5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FC9D5" w14:textId="77777777" w:rsidR="00AF2126" w:rsidRDefault="00AF2126" w:rsidP="00CD5ACB">
            <w:pPr>
              <w:spacing w:before="40" w:after="60"/>
              <w:rPr>
                <w:rFonts w:ascii="Arial" w:hAnsi="Arial" w:cs="Arial"/>
                <w:sz w:val="24"/>
                <w:szCs w:val="24"/>
                <w:lang w:eastAsia="en-GB"/>
              </w:rPr>
            </w:pPr>
            <w:r>
              <w:rPr>
                <w:rFonts w:ascii="Arial" w:hAnsi="Arial" w:cs="Arial"/>
                <w:sz w:val="24"/>
                <w:szCs w:val="24"/>
                <w:lang w:eastAsia="en-GB"/>
              </w:rPr>
              <w:t>Total number (absolute and full time equivalent) of professionally accredited counter fraud specialists.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14:paraId="4FFEC7AB" w14:textId="6827BEFD" w:rsidR="00AF2126" w:rsidRPr="00D12155" w:rsidRDefault="00AF2126" w:rsidP="00CD5ACB">
            <w:pPr>
              <w:spacing w:before="40" w:after="60"/>
              <w:jc w:val="center"/>
              <w:rPr>
                <w:rFonts w:ascii="Arial" w:hAnsi="Arial" w:cs="Arial"/>
                <w:color w:val="FF0000"/>
                <w:sz w:val="24"/>
                <w:szCs w:val="24"/>
                <w:lang w:eastAsia="en-GB"/>
              </w:rPr>
            </w:pPr>
            <w:r w:rsidRPr="00D12155">
              <w:rPr>
                <w:rFonts w:ascii="Arial" w:hAnsi="Arial" w:cs="Arial"/>
                <w:sz w:val="24"/>
                <w:szCs w:val="24"/>
                <w:lang w:eastAsia="en-GB"/>
              </w:rPr>
              <w:t>The Council has access to 3</w:t>
            </w:r>
            <w:r w:rsidR="00964B56" w:rsidRPr="00D12155">
              <w:rPr>
                <w:rFonts w:ascii="Arial" w:hAnsi="Arial" w:cs="Arial"/>
                <w:sz w:val="24"/>
                <w:szCs w:val="24"/>
                <w:lang w:eastAsia="en-GB"/>
              </w:rPr>
              <w:t xml:space="preserve"> accredited counter fraud specialists / investigators </w:t>
            </w:r>
            <w:r w:rsidRPr="00D12155">
              <w:rPr>
                <w:rFonts w:ascii="Arial" w:hAnsi="Arial" w:cs="Arial"/>
                <w:sz w:val="24"/>
                <w:szCs w:val="24"/>
                <w:lang w:eastAsia="en-GB"/>
              </w:rPr>
              <w:t>(2.</w:t>
            </w:r>
            <w:r w:rsidR="00D12155" w:rsidRPr="00D12155">
              <w:rPr>
                <w:rFonts w:ascii="Arial" w:hAnsi="Arial" w:cs="Arial"/>
                <w:sz w:val="24"/>
                <w:szCs w:val="24"/>
                <w:lang w:eastAsia="en-GB"/>
              </w:rPr>
              <w:t>7</w:t>
            </w:r>
            <w:r w:rsidRPr="00D12155">
              <w:rPr>
                <w:rFonts w:ascii="Arial" w:hAnsi="Arial" w:cs="Arial"/>
                <w:sz w:val="24"/>
                <w:szCs w:val="24"/>
                <w:lang w:eastAsia="en-GB"/>
              </w:rPr>
              <w:t xml:space="preserve"> FTE).</w:t>
            </w:r>
          </w:p>
        </w:tc>
      </w:tr>
      <w:tr w:rsidR="00AF2126" w14:paraId="345A33BE" w14:textId="77777777" w:rsidTr="00615FCF">
        <w:tc>
          <w:tcPr>
            <w:tcW w:w="57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29A9A90" w14:textId="77777777" w:rsidR="00AF2126" w:rsidRDefault="00AF2126" w:rsidP="00CD5ACB">
            <w:pPr>
              <w:spacing w:before="40" w:after="60"/>
              <w:rPr>
                <w:rFonts w:ascii="Arial" w:hAnsi="Arial" w:cs="Arial"/>
                <w:sz w:val="24"/>
                <w:szCs w:val="24"/>
                <w:lang w:eastAsia="en-GB"/>
              </w:rPr>
            </w:pPr>
            <w:r>
              <w:rPr>
                <w:rFonts w:ascii="Arial" w:hAnsi="Arial" w:cs="Arial"/>
                <w:sz w:val="24"/>
                <w:szCs w:val="24"/>
                <w:lang w:eastAsia="en-GB"/>
              </w:rPr>
              <w:t>Total amount spent by the authority on the investigation and prosecution of fraud.</w:t>
            </w:r>
          </w:p>
        </w:tc>
        <w:tc>
          <w:tcPr>
            <w:tcW w:w="3255" w:type="dxa"/>
            <w:tcBorders>
              <w:top w:val="nil"/>
              <w:left w:val="nil"/>
              <w:bottom w:val="single" w:sz="4" w:space="0" w:color="auto"/>
              <w:right w:val="single" w:sz="8" w:space="0" w:color="auto"/>
            </w:tcBorders>
            <w:tcMar>
              <w:top w:w="0" w:type="dxa"/>
              <w:left w:w="108" w:type="dxa"/>
              <w:bottom w:w="0" w:type="dxa"/>
              <w:right w:w="108" w:type="dxa"/>
            </w:tcMar>
            <w:hideMark/>
          </w:tcPr>
          <w:p w14:paraId="502847E0" w14:textId="13C6ACA6" w:rsidR="00AF2126" w:rsidRDefault="00AF2126" w:rsidP="00CD5ACB">
            <w:pPr>
              <w:spacing w:before="40" w:after="60"/>
              <w:jc w:val="center"/>
              <w:rPr>
                <w:rFonts w:ascii="Arial" w:hAnsi="Arial" w:cs="Arial"/>
                <w:color w:val="FF0000"/>
                <w:sz w:val="24"/>
                <w:szCs w:val="24"/>
                <w:lang w:eastAsia="en-GB"/>
              </w:rPr>
            </w:pPr>
            <w:r>
              <w:rPr>
                <w:rFonts w:ascii="Arial" w:hAnsi="Arial" w:cs="Arial"/>
                <w:sz w:val="24"/>
                <w:szCs w:val="24"/>
                <w:lang w:eastAsia="en-GB"/>
              </w:rPr>
              <w:t>Approximately £</w:t>
            </w:r>
            <w:r w:rsidR="00E044E8">
              <w:rPr>
                <w:rFonts w:ascii="Arial" w:hAnsi="Arial" w:cs="Arial"/>
                <w:sz w:val="24"/>
                <w:szCs w:val="24"/>
                <w:lang w:eastAsia="en-GB"/>
              </w:rPr>
              <w:t>4</w:t>
            </w:r>
            <w:r w:rsidR="00511E97">
              <w:rPr>
                <w:rFonts w:ascii="Arial" w:hAnsi="Arial" w:cs="Arial"/>
                <w:sz w:val="24"/>
                <w:szCs w:val="24"/>
                <w:lang w:eastAsia="en-GB"/>
              </w:rPr>
              <w:t>7</w:t>
            </w:r>
            <w:r w:rsidR="001A5E0F">
              <w:rPr>
                <w:rFonts w:ascii="Arial" w:hAnsi="Arial" w:cs="Arial"/>
                <w:sz w:val="24"/>
                <w:szCs w:val="24"/>
                <w:lang w:eastAsia="en-GB"/>
              </w:rPr>
              <w:t>,</w:t>
            </w:r>
            <w:r w:rsidR="00511E97">
              <w:rPr>
                <w:rFonts w:ascii="Arial" w:hAnsi="Arial" w:cs="Arial"/>
                <w:sz w:val="24"/>
                <w:szCs w:val="24"/>
                <w:lang w:eastAsia="en-GB"/>
              </w:rPr>
              <w:t>052</w:t>
            </w:r>
            <w:r>
              <w:rPr>
                <w:rFonts w:ascii="Arial" w:hAnsi="Arial" w:cs="Arial"/>
                <w:b/>
                <w:bCs/>
                <w:sz w:val="20"/>
                <w:szCs w:val="20"/>
                <w:lang w:eastAsia="en-GB"/>
              </w:rPr>
              <w:t xml:space="preserve"> </w:t>
            </w:r>
            <w:r>
              <w:rPr>
                <w:rFonts w:ascii="Arial" w:hAnsi="Arial" w:cs="Arial"/>
                <w:sz w:val="24"/>
                <w:szCs w:val="24"/>
                <w:lang w:eastAsia="en-GB"/>
              </w:rPr>
              <w:t>in staff time from ARA.</w:t>
            </w:r>
          </w:p>
        </w:tc>
      </w:tr>
      <w:tr w:rsidR="00AF2126" w14:paraId="2CC9EBFC" w14:textId="77777777" w:rsidTr="00615FCF">
        <w:tc>
          <w:tcPr>
            <w:tcW w:w="5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FD1ED" w14:textId="77777777" w:rsidR="00AF2126" w:rsidRDefault="00AF2126" w:rsidP="00CD5ACB">
            <w:pPr>
              <w:spacing w:before="40" w:after="60"/>
              <w:rPr>
                <w:rFonts w:ascii="Arial" w:hAnsi="Arial" w:cs="Arial"/>
                <w:sz w:val="24"/>
                <w:szCs w:val="24"/>
                <w:lang w:eastAsia="en-GB"/>
              </w:rPr>
            </w:pPr>
            <w:r>
              <w:rPr>
                <w:rFonts w:ascii="Arial" w:hAnsi="Arial" w:cs="Arial"/>
                <w:sz w:val="24"/>
                <w:szCs w:val="24"/>
                <w:lang w:eastAsia="en-GB"/>
              </w:rPr>
              <w:t>Total number of fraud cases investigated.</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512AA" w14:textId="76AEACCC" w:rsidR="00AF2126" w:rsidRDefault="00332030" w:rsidP="00CD5ACB">
            <w:pPr>
              <w:spacing w:before="40" w:after="60"/>
              <w:jc w:val="center"/>
              <w:rPr>
                <w:rFonts w:ascii="Arial" w:hAnsi="Arial" w:cs="Arial"/>
                <w:color w:val="FF0000"/>
                <w:sz w:val="24"/>
                <w:szCs w:val="24"/>
                <w:lang w:eastAsia="en-GB"/>
              </w:rPr>
            </w:pPr>
            <w:r>
              <w:rPr>
                <w:rFonts w:ascii="Arial" w:hAnsi="Arial" w:cs="Arial"/>
                <w:sz w:val="24"/>
                <w:szCs w:val="24"/>
                <w:lang w:eastAsia="en-GB"/>
              </w:rPr>
              <w:t>2</w:t>
            </w:r>
            <w:r w:rsidR="00EA5941">
              <w:rPr>
                <w:rFonts w:ascii="Arial" w:hAnsi="Arial" w:cs="Arial"/>
                <w:sz w:val="24"/>
                <w:szCs w:val="24"/>
                <w:lang w:eastAsia="en-GB"/>
              </w:rPr>
              <w:t>3</w:t>
            </w:r>
          </w:p>
        </w:tc>
      </w:tr>
      <w:tr w:rsidR="00615FCF" w14:paraId="4F65F38C" w14:textId="77777777" w:rsidTr="00615FCF">
        <w:tc>
          <w:tcPr>
            <w:tcW w:w="5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ACFA" w14:textId="5A750F50" w:rsidR="00615FCF" w:rsidRDefault="00615FCF" w:rsidP="00615FCF">
            <w:pPr>
              <w:spacing w:before="40" w:after="60"/>
              <w:rPr>
                <w:rFonts w:ascii="Arial" w:hAnsi="Arial" w:cs="Arial"/>
                <w:sz w:val="24"/>
                <w:szCs w:val="24"/>
                <w:lang w:eastAsia="en-GB"/>
              </w:rPr>
            </w:pPr>
            <w:r>
              <w:rPr>
                <w:rFonts w:ascii="Arial" w:hAnsi="Arial" w:cs="Arial"/>
                <w:sz w:val="24"/>
                <w:szCs w:val="24"/>
                <w:lang w:eastAsia="en-GB"/>
              </w:rPr>
              <w:t xml:space="preserve">Total number of cases of irregularity investigated. </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5F99D" w14:textId="38E90C66" w:rsidR="00615FCF" w:rsidRDefault="00E17F43" w:rsidP="00615FCF">
            <w:pPr>
              <w:spacing w:before="40" w:after="60"/>
              <w:jc w:val="center"/>
              <w:rPr>
                <w:rFonts w:ascii="Arial" w:hAnsi="Arial" w:cs="Arial"/>
                <w:sz w:val="24"/>
                <w:szCs w:val="24"/>
                <w:lang w:eastAsia="en-GB"/>
              </w:rPr>
            </w:pPr>
            <w:r>
              <w:rPr>
                <w:rFonts w:ascii="Arial" w:hAnsi="Arial" w:cs="Arial"/>
                <w:sz w:val="24"/>
                <w:szCs w:val="24"/>
                <w:lang w:eastAsia="en-GB"/>
              </w:rPr>
              <w:t>8</w:t>
            </w:r>
            <w:r w:rsidR="00AD3994">
              <w:rPr>
                <w:rFonts w:ascii="Arial" w:hAnsi="Arial" w:cs="Arial"/>
                <w:sz w:val="24"/>
                <w:szCs w:val="24"/>
                <w:lang w:eastAsia="en-GB"/>
              </w:rPr>
              <w:t>1</w:t>
            </w:r>
          </w:p>
        </w:tc>
      </w:tr>
    </w:tbl>
    <w:p w14:paraId="596EEF6C" w14:textId="77777777" w:rsidR="00AF2126" w:rsidRDefault="00AF2126" w:rsidP="00AF2126">
      <w:pPr>
        <w:rPr>
          <w:rFonts w:ascii="Calibri" w:hAnsi="Calibri" w:cs="Calibri"/>
        </w:rPr>
      </w:pPr>
    </w:p>
    <w:p w14:paraId="3D25E395" w14:textId="72968389" w:rsidR="00AF2126" w:rsidRDefault="00AF2126" w:rsidP="00AF2126">
      <w:pPr>
        <w:rPr>
          <w:rFonts w:ascii="Calibri" w:hAnsi="Calibri" w:cs="Calibri"/>
        </w:rPr>
      </w:pPr>
      <w:r w:rsidRPr="00D459EA">
        <w:rPr>
          <w:rFonts w:ascii="Arial" w:eastAsia="Times New Roman" w:hAnsi="Arial" w:cs="Arial"/>
          <w:sz w:val="24"/>
          <w:szCs w:val="24"/>
          <w:lang w:eastAsia="en-GB"/>
        </w:rPr>
        <w:t>In addition to the above, it is recommended that local authorities should go further than the minimum publication requirements set out above in the table below</w:t>
      </w:r>
      <w:r w:rsidR="00C01300">
        <w:rPr>
          <w:rFonts w:ascii="Arial" w:eastAsia="Times New Roman" w:hAnsi="Arial" w:cs="Arial"/>
          <w:sz w:val="24"/>
          <w:szCs w:val="24"/>
          <w:lang w:eastAsia="en-GB"/>
        </w:rPr>
        <w:t>:</w:t>
      </w:r>
    </w:p>
    <w:tbl>
      <w:tblPr>
        <w:tblW w:w="0" w:type="auto"/>
        <w:jc w:val="center"/>
        <w:tblCellMar>
          <w:left w:w="0" w:type="dxa"/>
          <w:right w:w="0" w:type="dxa"/>
        </w:tblCellMar>
        <w:tblLook w:val="04A0" w:firstRow="1" w:lastRow="0" w:firstColumn="1" w:lastColumn="0" w:noHBand="0" w:noVBand="1"/>
      </w:tblPr>
      <w:tblGrid>
        <w:gridCol w:w="4127"/>
        <w:gridCol w:w="2384"/>
        <w:gridCol w:w="2495"/>
      </w:tblGrid>
      <w:tr w:rsidR="00C01300" w14:paraId="36FA77FD" w14:textId="02C7FBCC" w:rsidTr="00C01300">
        <w:trPr>
          <w:jc w:val="center"/>
        </w:trPr>
        <w:tc>
          <w:tcPr>
            <w:tcW w:w="41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9801136" w14:textId="77777777" w:rsidR="00C01300" w:rsidRDefault="00C01300" w:rsidP="00186FBF">
            <w:pPr>
              <w:spacing w:after="240" w:line="288" w:lineRule="auto"/>
              <w:jc w:val="center"/>
              <w:rPr>
                <w:rFonts w:ascii="Arial" w:hAnsi="Arial" w:cs="Arial"/>
                <w:b/>
                <w:bCs/>
                <w:sz w:val="24"/>
                <w:szCs w:val="24"/>
                <w:lang w:eastAsia="en-GB"/>
              </w:rPr>
            </w:pPr>
            <w:r>
              <w:rPr>
                <w:rFonts w:ascii="Arial" w:hAnsi="Arial" w:cs="Arial"/>
                <w:b/>
                <w:bCs/>
                <w:sz w:val="24"/>
                <w:szCs w:val="24"/>
                <w:lang w:eastAsia="en-GB"/>
              </w:rPr>
              <w:t>Question</w:t>
            </w:r>
          </w:p>
        </w:tc>
        <w:tc>
          <w:tcPr>
            <w:tcW w:w="23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120EB95" w14:textId="52E215BB" w:rsidR="00C01300" w:rsidRPr="00C01300" w:rsidRDefault="00C01300" w:rsidP="00C01300">
            <w:pPr>
              <w:spacing w:after="240" w:line="288" w:lineRule="auto"/>
              <w:jc w:val="center"/>
              <w:rPr>
                <w:rFonts w:ascii="Arial" w:hAnsi="Arial" w:cs="Arial"/>
                <w:b/>
                <w:bCs/>
                <w:sz w:val="24"/>
                <w:szCs w:val="24"/>
                <w:lang w:eastAsia="en-GB"/>
              </w:rPr>
            </w:pPr>
            <w:r w:rsidRPr="00C01300">
              <w:rPr>
                <w:rFonts w:ascii="Arial" w:hAnsi="Arial" w:cs="Arial"/>
                <w:b/>
                <w:bCs/>
                <w:sz w:val="24"/>
                <w:szCs w:val="24"/>
                <w:lang w:eastAsia="en-GB"/>
              </w:rPr>
              <w:t>(a) Fraud</w:t>
            </w:r>
          </w:p>
        </w:tc>
        <w:tc>
          <w:tcPr>
            <w:tcW w:w="2495" w:type="dxa"/>
            <w:tcBorders>
              <w:top w:val="single" w:sz="8" w:space="0" w:color="auto"/>
              <w:left w:val="nil"/>
              <w:bottom w:val="single" w:sz="8" w:space="0" w:color="auto"/>
              <w:right w:val="single" w:sz="8" w:space="0" w:color="auto"/>
            </w:tcBorders>
            <w:shd w:val="clear" w:color="auto" w:fill="BFBFBF"/>
            <w:vAlign w:val="center"/>
          </w:tcPr>
          <w:p w14:paraId="4D136E97" w14:textId="78E52591" w:rsidR="00C01300" w:rsidRPr="00C01300" w:rsidRDefault="00C01300" w:rsidP="00C01300">
            <w:pPr>
              <w:spacing w:after="240" w:line="288" w:lineRule="auto"/>
              <w:jc w:val="center"/>
              <w:rPr>
                <w:rFonts w:ascii="Arial" w:hAnsi="Arial" w:cs="Arial"/>
                <w:b/>
                <w:bCs/>
                <w:sz w:val="24"/>
                <w:szCs w:val="24"/>
                <w:lang w:eastAsia="en-GB"/>
              </w:rPr>
            </w:pPr>
            <w:r w:rsidRPr="00C01300">
              <w:rPr>
                <w:rFonts w:ascii="Arial" w:hAnsi="Arial" w:cs="Arial"/>
                <w:b/>
                <w:bCs/>
                <w:sz w:val="24"/>
                <w:szCs w:val="24"/>
                <w:lang w:eastAsia="en-GB"/>
              </w:rPr>
              <w:t>(b) Irregularity</w:t>
            </w:r>
          </w:p>
        </w:tc>
      </w:tr>
      <w:tr w:rsidR="00C01300" w14:paraId="6CAD9DD8" w14:textId="7D867A82" w:rsidTr="00C01300">
        <w:trPr>
          <w:jc w:val="center"/>
        </w:trPr>
        <w:tc>
          <w:tcPr>
            <w:tcW w:w="4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9FBFA" w14:textId="77777777" w:rsidR="00C01300" w:rsidRDefault="00C01300" w:rsidP="00186FBF">
            <w:pPr>
              <w:spacing w:before="40" w:after="60"/>
              <w:rPr>
                <w:rFonts w:ascii="Arial" w:hAnsi="Arial" w:cs="Arial"/>
                <w:sz w:val="24"/>
                <w:szCs w:val="24"/>
                <w:lang w:eastAsia="en-GB"/>
              </w:rPr>
            </w:pPr>
            <w:r>
              <w:rPr>
                <w:rFonts w:ascii="Arial" w:hAnsi="Arial" w:cs="Arial"/>
                <w:sz w:val="24"/>
                <w:szCs w:val="24"/>
                <w:lang w:eastAsia="en-GB"/>
              </w:rPr>
              <w:t>Total number of occasions on which a) fraud and b) irregularity was identified.</w:t>
            </w:r>
          </w:p>
        </w:tc>
        <w:tc>
          <w:tcPr>
            <w:tcW w:w="238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2A48235" w14:textId="69BFA48C" w:rsidR="00C01300" w:rsidRDefault="008D24F8" w:rsidP="00C01300">
            <w:pPr>
              <w:spacing w:before="40" w:after="60" w:line="240" w:lineRule="auto"/>
              <w:jc w:val="center"/>
              <w:rPr>
                <w:rFonts w:ascii="Arial" w:hAnsi="Arial" w:cs="Arial"/>
                <w:sz w:val="24"/>
                <w:szCs w:val="24"/>
                <w:lang w:eastAsia="en-GB"/>
              </w:rPr>
            </w:pPr>
            <w:r>
              <w:rPr>
                <w:rFonts w:ascii="Arial" w:hAnsi="Arial" w:cs="Arial"/>
                <w:sz w:val="24"/>
                <w:szCs w:val="24"/>
                <w:lang w:eastAsia="en-GB"/>
              </w:rPr>
              <w:t>1</w:t>
            </w:r>
            <w:r w:rsidR="00EA5941">
              <w:rPr>
                <w:rFonts w:ascii="Arial" w:hAnsi="Arial" w:cs="Arial"/>
                <w:sz w:val="24"/>
                <w:szCs w:val="24"/>
                <w:lang w:eastAsia="en-GB"/>
              </w:rPr>
              <w:t>4</w:t>
            </w:r>
          </w:p>
          <w:p w14:paraId="5C2403AB" w14:textId="014A25B3" w:rsidR="00C01300" w:rsidRDefault="00C01300" w:rsidP="00C01300">
            <w:pPr>
              <w:spacing w:before="40" w:after="60" w:line="240" w:lineRule="auto"/>
              <w:rPr>
                <w:rFonts w:ascii="Arial" w:hAnsi="Arial" w:cs="Arial"/>
                <w:sz w:val="24"/>
                <w:szCs w:val="24"/>
                <w:lang w:eastAsia="en-GB"/>
              </w:rPr>
            </w:pPr>
          </w:p>
        </w:tc>
        <w:tc>
          <w:tcPr>
            <w:tcW w:w="2495" w:type="dxa"/>
            <w:tcBorders>
              <w:top w:val="nil"/>
              <w:left w:val="nil"/>
              <w:bottom w:val="single" w:sz="4" w:space="0" w:color="auto"/>
              <w:right w:val="single" w:sz="8" w:space="0" w:color="auto"/>
            </w:tcBorders>
            <w:vAlign w:val="center"/>
          </w:tcPr>
          <w:p w14:paraId="2B16D466" w14:textId="084DDC6B" w:rsidR="00C01300" w:rsidRDefault="00C5181C" w:rsidP="00C01300">
            <w:pPr>
              <w:spacing w:before="40" w:after="60" w:line="240" w:lineRule="auto"/>
              <w:jc w:val="center"/>
              <w:rPr>
                <w:rFonts w:ascii="Arial" w:hAnsi="Arial" w:cs="Arial"/>
                <w:sz w:val="24"/>
                <w:szCs w:val="24"/>
                <w:lang w:eastAsia="en-GB"/>
              </w:rPr>
            </w:pPr>
            <w:r>
              <w:rPr>
                <w:rFonts w:ascii="Arial" w:hAnsi="Arial" w:cs="Arial"/>
                <w:sz w:val="24"/>
                <w:szCs w:val="24"/>
                <w:lang w:eastAsia="en-GB"/>
              </w:rPr>
              <w:t>7</w:t>
            </w:r>
            <w:r w:rsidR="00926F60">
              <w:rPr>
                <w:rFonts w:ascii="Arial" w:hAnsi="Arial" w:cs="Arial"/>
                <w:sz w:val="24"/>
                <w:szCs w:val="24"/>
                <w:lang w:eastAsia="en-GB"/>
              </w:rPr>
              <w:t>5</w:t>
            </w:r>
          </w:p>
        </w:tc>
      </w:tr>
      <w:tr w:rsidR="00C01300" w14:paraId="19016510" w14:textId="25DF1A9B" w:rsidTr="00C01300">
        <w:trPr>
          <w:trHeight w:val="540"/>
          <w:jc w:val="center"/>
        </w:trPr>
        <w:tc>
          <w:tcPr>
            <w:tcW w:w="4127" w:type="dxa"/>
            <w:vMerge w:val="restart"/>
            <w:tcBorders>
              <w:top w:val="nil"/>
              <w:left w:val="single" w:sz="8" w:space="0" w:color="auto"/>
              <w:right w:val="single" w:sz="4" w:space="0" w:color="auto"/>
            </w:tcBorders>
            <w:tcMar>
              <w:top w:w="0" w:type="dxa"/>
              <w:left w:w="108" w:type="dxa"/>
              <w:bottom w:w="0" w:type="dxa"/>
              <w:right w:w="108" w:type="dxa"/>
            </w:tcMar>
            <w:hideMark/>
          </w:tcPr>
          <w:p w14:paraId="5B8D68CB" w14:textId="77777777" w:rsidR="00C01300" w:rsidRDefault="00C01300" w:rsidP="00186FBF">
            <w:pPr>
              <w:spacing w:before="40" w:after="60"/>
              <w:rPr>
                <w:rFonts w:ascii="Arial" w:hAnsi="Arial" w:cs="Arial"/>
                <w:sz w:val="24"/>
                <w:szCs w:val="24"/>
                <w:lang w:eastAsia="en-GB"/>
              </w:rPr>
            </w:pPr>
            <w:r>
              <w:rPr>
                <w:rFonts w:ascii="Arial" w:hAnsi="Arial" w:cs="Arial"/>
                <w:sz w:val="24"/>
                <w:szCs w:val="24"/>
                <w:lang w:eastAsia="en-GB"/>
              </w:rPr>
              <w:t>Total monetary value of a) the fraud and b) the irregularity that was detected.</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FA215D" w14:textId="5B3C35A4" w:rsidR="00C01300" w:rsidRPr="00C01300" w:rsidRDefault="00C01300" w:rsidP="00C01300">
            <w:pPr>
              <w:spacing w:before="40" w:after="60" w:line="240" w:lineRule="auto"/>
              <w:jc w:val="center"/>
              <w:rPr>
                <w:rFonts w:ascii="Arial" w:hAnsi="Arial" w:cs="Arial"/>
                <w:sz w:val="24"/>
                <w:szCs w:val="24"/>
                <w:lang w:eastAsia="en-GB"/>
              </w:rPr>
            </w:pPr>
            <w:r w:rsidRPr="00C01300">
              <w:rPr>
                <w:rFonts w:ascii="Arial" w:hAnsi="Arial" w:cs="Arial"/>
                <w:sz w:val="24"/>
                <w:szCs w:val="24"/>
                <w:lang w:eastAsia="en-GB"/>
              </w:rPr>
              <w:t>£</w:t>
            </w:r>
            <w:r w:rsidR="0060476F">
              <w:rPr>
                <w:rFonts w:ascii="Arial" w:hAnsi="Arial" w:cs="Arial"/>
                <w:sz w:val="24"/>
                <w:szCs w:val="24"/>
                <w:lang w:eastAsia="en-GB"/>
              </w:rPr>
              <w:t>1</w:t>
            </w:r>
            <w:r w:rsidR="00C72953">
              <w:rPr>
                <w:rFonts w:ascii="Arial" w:hAnsi="Arial" w:cs="Arial"/>
                <w:sz w:val="24"/>
                <w:szCs w:val="24"/>
                <w:lang w:eastAsia="en-GB"/>
              </w:rPr>
              <w:t>8</w:t>
            </w:r>
            <w:r w:rsidR="0060476F">
              <w:rPr>
                <w:rFonts w:ascii="Arial" w:hAnsi="Arial" w:cs="Arial"/>
                <w:sz w:val="24"/>
                <w:szCs w:val="24"/>
                <w:lang w:eastAsia="en-GB"/>
              </w:rPr>
              <w:t>0</w:t>
            </w:r>
            <w:r w:rsidR="001A7FB7">
              <w:rPr>
                <w:rFonts w:ascii="Arial" w:hAnsi="Arial" w:cs="Arial"/>
                <w:sz w:val="24"/>
                <w:szCs w:val="24"/>
                <w:lang w:eastAsia="en-GB"/>
              </w:rPr>
              <w:t>,</w:t>
            </w:r>
            <w:r w:rsidR="00C72953">
              <w:rPr>
                <w:rFonts w:ascii="Arial" w:hAnsi="Arial" w:cs="Arial"/>
                <w:sz w:val="24"/>
                <w:szCs w:val="24"/>
                <w:lang w:eastAsia="en-GB"/>
              </w:rPr>
              <w:t>462.2</w:t>
            </w:r>
            <w:r w:rsidR="00242A90">
              <w:rPr>
                <w:rFonts w:ascii="Arial" w:hAnsi="Arial" w:cs="Arial"/>
                <w:sz w:val="24"/>
                <w:szCs w:val="24"/>
                <w:lang w:eastAsia="en-GB"/>
              </w:rPr>
              <w:t>8</w:t>
            </w:r>
          </w:p>
          <w:p w14:paraId="29B828C9" w14:textId="6ADC8314" w:rsidR="00C01300" w:rsidRDefault="00C01300" w:rsidP="00186FBF">
            <w:pPr>
              <w:pStyle w:val="ListParagraph"/>
              <w:spacing w:before="40" w:after="60" w:line="240" w:lineRule="auto"/>
              <w:ind w:left="430"/>
              <w:rPr>
                <w:rFonts w:ascii="Arial" w:hAnsi="Arial" w:cs="Arial"/>
                <w:color w:val="FF0000"/>
                <w:sz w:val="24"/>
                <w:szCs w:val="24"/>
                <w:lang w:eastAsia="en-GB"/>
              </w:rPr>
            </w:pPr>
          </w:p>
        </w:tc>
        <w:tc>
          <w:tcPr>
            <w:tcW w:w="2495" w:type="dxa"/>
            <w:tcBorders>
              <w:top w:val="single" w:sz="4" w:space="0" w:color="auto"/>
              <w:left w:val="single" w:sz="4" w:space="0" w:color="auto"/>
              <w:bottom w:val="single" w:sz="4" w:space="0" w:color="auto"/>
              <w:right w:val="single" w:sz="4" w:space="0" w:color="auto"/>
            </w:tcBorders>
            <w:vAlign w:val="center"/>
          </w:tcPr>
          <w:p w14:paraId="7B0C8612" w14:textId="724920E4" w:rsidR="00C01300" w:rsidRPr="00C01300" w:rsidRDefault="00750341" w:rsidP="00C01300">
            <w:pPr>
              <w:spacing w:before="40" w:after="60" w:line="240" w:lineRule="auto"/>
              <w:jc w:val="center"/>
              <w:rPr>
                <w:rFonts w:ascii="Arial" w:hAnsi="Arial" w:cs="Arial"/>
                <w:sz w:val="24"/>
                <w:szCs w:val="24"/>
                <w:lang w:eastAsia="en-GB"/>
              </w:rPr>
            </w:pPr>
            <w:r w:rsidRPr="00C01300">
              <w:rPr>
                <w:rFonts w:ascii="Arial" w:hAnsi="Arial" w:cs="Arial"/>
                <w:sz w:val="24"/>
                <w:szCs w:val="24"/>
                <w:lang w:eastAsia="en-GB"/>
              </w:rPr>
              <w:t>£</w:t>
            </w:r>
            <w:r w:rsidR="00C66B79">
              <w:rPr>
                <w:rFonts w:ascii="Arial" w:hAnsi="Arial" w:cs="Arial"/>
                <w:sz w:val="24"/>
                <w:szCs w:val="24"/>
                <w:lang w:eastAsia="en-GB"/>
              </w:rPr>
              <w:t>104</w:t>
            </w:r>
            <w:r>
              <w:rPr>
                <w:rFonts w:ascii="Arial" w:hAnsi="Arial" w:cs="Arial"/>
                <w:sz w:val="24"/>
                <w:szCs w:val="24"/>
                <w:lang w:eastAsia="en-GB"/>
              </w:rPr>
              <w:t>,</w:t>
            </w:r>
            <w:r w:rsidR="00F5146B">
              <w:rPr>
                <w:rFonts w:ascii="Arial" w:hAnsi="Arial" w:cs="Arial"/>
                <w:sz w:val="24"/>
                <w:szCs w:val="24"/>
                <w:lang w:eastAsia="en-GB"/>
              </w:rPr>
              <w:t>1</w:t>
            </w:r>
            <w:r w:rsidR="00C66B79">
              <w:rPr>
                <w:rFonts w:ascii="Arial" w:hAnsi="Arial" w:cs="Arial"/>
                <w:sz w:val="24"/>
                <w:szCs w:val="24"/>
                <w:lang w:eastAsia="en-GB"/>
              </w:rPr>
              <w:t>61</w:t>
            </w:r>
            <w:r>
              <w:rPr>
                <w:rFonts w:ascii="Arial" w:hAnsi="Arial" w:cs="Arial"/>
                <w:sz w:val="24"/>
                <w:szCs w:val="24"/>
                <w:lang w:eastAsia="en-GB"/>
              </w:rPr>
              <w:t>.</w:t>
            </w:r>
            <w:r w:rsidR="00C66B79">
              <w:rPr>
                <w:rFonts w:ascii="Arial" w:hAnsi="Arial" w:cs="Arial"/>
                <w:sz w:val="24"/>
                <w:szCs w:val="24"/>
                <w:lang w:eastAsia="en-GB"/>
              </w:rPr>
              <w:t>36</w:t>
            </w:r>
          </w:p>
        </w:tc>
      </w:tr>
      <w:tr w:rsidR="00C01300" w14:paraId="41A54473" w14:textId="77777777" w:rsidTr="00C01300">
        <w:trPr>
          <w:trHeight w:val="540"/>
          <w:jc w:val="center"/>
        </w:trPr>
        <w:tc>
          <w:tcPr>
            <w:tcW w:w="4127" w:type="dxa"/>
            <w:vMerge/>
            <w:tcBorders>
              <w:left w:val="single" w:sz="8" w:space="0" w:color="auto"/>
              <w:bottom w:val="single" w:sz="8" w:space="0" w:color="auto"/>
              <w:right w:val="single" w:sz="4" w:space="0" w:color="auto"/>
            </w:tcBorders>
            <w:tcMar>
              <w:top w:w="0" w:type="dxa"/>
              <w:left w:w="108" w:type="dxa"/>
              <w:bottom w:w="0" w:type="dxa"/>
              <w:right w:w="108" w:type="dxa"/>
            </w:tcMar>
          </w:tcPr>
          <w:p w14:paraId="5E4D053F" w14:textId="77777777" w:rsidR="00C01300" w:rsidRDefault="00C01300" w:rsidP="00186FBF">
            <w:pPr>
              <w:spacing w:before="40" w:after="60"/>
              <w:rPr>
                <w:rFonts w:ascii="Arial" w:hAnsi="Arial" w:cs="Arial"/>
                <w:sz w:val="24"/>
                <w:szCs w:val="24"/>
                <w:lang w:eastAsia="en-GB"/>
              </w:rPr>
            </w:pPr>
          </w:p>
        </w:tc>
        <w:tc>
          <w:tcPr>
            <w:tcW w:w="48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EB9FA" w14:textId="4F5F2FE7" w:rsidR="00E4301D" w:rsidRPr="00B916BE" w:rsidRDefault="00E4301D" w:rsidP="00762147">
            <w:pPr>
              <w:spacing w:before="40" w:after="60" w:line="240" w:lineRule="auto"/>
              <w:jc w:val="center"/>
              <w:rPr>
                <w:rFonts w:ascii="Arial" w:hAnsi="Arial" w:cs="Arial"/>
                <w:b/>
                <w:bCs/>
                <w:sz w:val="16"/>
                <w:szCs w:val="16"/>
                <w:lang w:eastAsia="en-GB"/>
              </w:rPr>
            </w:pPr>
            <w:r w:rsidRPr="00B916BE">
              <w:rPr>
                <w:rFonts w:ascii="Arial" w:hAnsi="Arial" w:cs="Arial"/>
                <w:b/>
                <w:bCs/>
                <w:sz w:val="16"/>
                <w:szCs w:val="16"/>
                <w:lang w:eastAsia="en-GB"/>
              </w:rPr>
              <w:t>Total: £</w:t>
            </w:r>
            <w:r w:rsidR="00C72B60" w:rsidRPr="00B916BE">
              <w:rPr>
                <w:rFonts w:ascii="Arial" w:hAnsi="Arial" w:cs="Arial"/>
                <w:b/>
                <w:bCs/>
                <w:sz w:val="16"/>
                <w:szCs w:val="16"/>
                <w:lang w:eastAsia="en-GB"/>
              </w:rPr>
              <w:t>2</w:t>
            </w:r>
            <w:r w:rsidR="003D15C4" w:rsidRPr="00B916BE">
              <w:rPr>
                <w:rFonts w:ascii="Arial" w:hAnsi="Arial" w:cs="Arial"/>
                <w:b/>
                <w:bCs/>
                <w:sz w:val="16"/>
                <w:szCs w:val="16"/>
                <w:lang w:eastAsia="en-GB"/>
              </w:rPr>
              <w:t>8</w:t>
            </w:r>
            <w:r w:rsidR="00E568E9" w:rsidRPr="00B916BE">
              <w:rPr>
                <w:rFonts w:ascii="Arial" w:hAnsi="Arial" w:cs="Arial"/>
                <w:b/>
                <w:bCs/>
                <w:sz w:val="16"/>
                <w:szCs w:val="16"/>
                <w:lang w:eastAsia="en-GB"/>
              </w:rPr>
              <w:t>4</w:t>
            </w:r>
            <w:r w:rsidRPr="00B916BE">
              <w:rPr>
                <w:rFonts w:ascii="Arial" w:hAnsi="Arial" w:cs="Arial"/>
                <w:b/>
                <w:bCs/>
                <w:sz w:val="16"/>
                <w:szCs w:val="16"/>
                <w:lang w:eastAsia="en-GB"/>
              </w:rPr>
              <w:t>,</w:t>
            </w:r>
            <w:r w:rsidR="00B916BE" w:rsidRPr="00B916BE">
              <w:rPr>
                <w:rFonts w:ascii="Arial" w:hAnsi="Arial" w:cs="Arial"/>
                <w:b/>
                <w:bCs/>
                <w:sz w:val="16"/>
                <w:szCs w:val="16"/>
                <w:lang w:eastAsia="en-GB"/>
              </w:rPr>
              <w:t>623</w:t>
            </w:r>
            <w:r w:rsidR="00A27B79" w:rsidRPr="00B916BE">
              <w:rPr>
                <w:rFonts w:ascii="Arial" w:hAnsi="Arial" w:cs="Arial"/>
                <w:b/>
                <w:bCs/>
                <w:sz w:val="16"/>
                <w:szCs w:val="16"/>
                <w:lang w:eastAsia="en-GB"/>
              </w:rPr>
              <w:t>.</w:t>
            </w:r>
            <w:r w:rsidR="00B916BE" w:rsidRPr="00B916BE">
              <w:rPr>
                <w:rFonts w:ascii="Arial" w:hAnsi="Arial" w:cs="Arial"/>
                <w:b/>
                <w:bCs/>
                <w:sz w:val="16"/>
                <w:szCs w:val="16"/>
                <w:lang w:eastAsia="en-GB"/>
              </w:rPr>
              <w:t>6</w:t>
            </w:r>
            <w:r w:rsidR="00762147" w:rsidRPr="00B916BE">
              <w:rPr>
                <w:rFonts w:ascii="Arial" w:hAnsi="Arial" w:cs="Arial"/>
                <w:b/>
                <w:bCs/>
                <w:sz w:val="16"/>
                <w:szCs w:val="16"/>
                <w:lang w:eastAsia="en-GB"/>
              </w:rPr>
              <w:t>4</w:t>
            </w:r>
          </w:p>
          <w:p w14:paraId="65672938" w14:textId="4B9E61E7" w:rsidR="005520D5" w:rsidRPr="005520D5" w:rsidRDefault="00C01300" w:rsidP="005520D5">
            <w:pPr>
              <w:spacing w:before="40" w:after="60" w:line="240" w:lineRule="auto"/>
              <w:jc w:val="center"/>
              <w:rPr>
                <w:rFonts w:ascii="Arial" w:hAnsi="Arial" w:cs="Arial"/>
                <w:sz w:val="16"/>
                <w:szCs w:val="16"/>
                <w:lang w:eastAsia="en-GB"/>
              </w:rPr>
            </w:pPr>
            <w:r w:rsidRPr="00C01300">
              <w:rPr>
                <w:rFonts w:ascii="Arial" w:hAnsi="Arial" w:cs="Arial"/>
                <w:sz w:val="16"/>
                <w:szCs w:val="16"/>
                <w:lang w:eastAsia="en-GB"/>
              </w:rPr>
              <w:t>Exclud</w:t>
            </w:r>
            <w:r w:rsidR="00485F75">
              <w:rPr>
                <w:rFonts w:ascii="Arial" w:hAnsi="Arial" w:cs="Arial"/>
                <w:sz w:val="16"/>
                <w:szCs w:val="16"/>
                <w:lang w:eastAsia="en-GB"/>
              </w:rPr>
              <w:t>es</w:t>
            </w:r>
            <w:r>
              <w:rPr>
                <w:rFonts w:ascii="Arial" w:hAnsi="Arial" w:cs="Arial"/>
                <w:sz w:val="16"/>
                <w:szCs w:val="16"/>
                <w:lang w:eastAsia="en-GB"/>
              </w:rPr>
              <w:t xml:space="preserve"> cases where value is currently not known</w:t>
            </w:r>
            <w:r w:rsidR="00417FA2">
              <w:rPr>
                <w:rFonts w:ascii="Arial" w:hAnsi="Arial" w:cs="Arial"/>
                <w:sz w:val="16"/>
                <w:szCs w:val="16"/>
                <w:lang w:eastAsia="en-GB"/>
              </w:rPr>
              <w:t>.</w:t>
            </w:r>
            <w:r w:rsidR="005520D5">
              <w:rPr>
                <w:rFonts w:ascii="Arial" w:hAnsi="Arial" w:cs="Arial"/>
                <w:sz w:val="16"/>
                <w:szCs w:val="16"/>
                <w:lang w:eastAsia="en-GB"/>
              </w:rPr>
              <w:br/>
            </w:r>
            <w:r w:rsidR="005520D5" w:rsidRPr="00C01300">
              <w:rPr>
                <w:rFonts w:ascii="Arial" w:hAnsi="Arial" w:cs="Arial"/>
                <w:sz w:val="16"/>
                <w:szCs w:val="16"/>
                <w:lang w:eastAsia="en-GB"/>
              </w:rPr>
              <w:t>Exclud</w:t>
            </w:r>
            <w:r w:rsidR="005520D5">
              <w:rPr>
                <w:rFonts w:ascii="Arial" w:hAnsi="Arial" w:cs="Arial"/>
                <w:sz w:val="16"/>
                <w:szCs w:val="16"/>
                <w:lang w:eastAsia="en-GB"/>
              </w:rPr>
              <w:t xml:space="preserve">es cases </w:t>
            </w:r>
            <w:r w:rsidR="00E218B5">
              <w:rPr>
                <w:rFonts w:ascii="Arial" w:hAnsi="Arial" w:cs="Arial"/>
                <w:sz w:val="16"/>
                <w:szCs w:val="16"/>
                <w:lang w:eastAsia="en-GB"/>
              </w:rPr>
              <w:t>reported</w:t>
            </w:r>
            <w:r w:rsidR="005520D5">
              <w:rPr>
                <w:rFonts w:ascii="Arial" w:hAnsi="Arial" w:cs="Arial"/>
                <w:sz w:val="16"/>
                <w:szCs w:val="16"/>
                <w:lang w:eastAsia="en-GB"/>
              </w:rPr>
              <w:t xml:space="preserve"> in previous financial years</w:t>
            </w:r>
            <w:r w:rsidR="00417FA2">
              <w:rPr>
                <w:rFonts w:ascii="Arial" w:hAnsi="Arial" w:cs="Arial"/>
                <w:sz w:val="16"/>
                <w:szCs w:val="16"/>
                <w:lang w:eastAsia="en-GB"/>
              </w:rPr>
              <w:t>.</w:t>
            </w:r>
          </w:p>
        </w:tc>
      </w:tr>
      <w:tr w:rsidR="00C01300" w14:paraId="23B6DA64" w14:textId="2A80519C" w:rsidTr="00C01300">
        <w:trPr>
          <w:trHeight w:val="529"/>
          <w:jc w:val="center"/>
        </w:trPr>
        <w:tc>
          <w:tcPr>
            <w:tcW w:w="4127" w:type="dxa"/>
            <w:vMerge w:val="restart"/>
            <w:tcBorders>
              <w:top w:val="nil"/>
              <w:left w:val="single" w:sz="8" w:space="0" w:color="auto"/>
              <w:right w:val="single" w:sz="8" w:space="0" w:color="auto"/>
            </w:tcBorders>
            <w:tcMar>
              <w:top w:w="0" w:type="dxa"/>
              <w:left w:w="108" w:type="dxa"/>
              <w:bottom w:w="0" w:type="dxa"/>
              <w:right w:w="108" w:type="dxa"/>
            </w:tcMar>
            <w:hideMark/>
          </w:tcPr>
          <w:p w14:paraId="658ED992" w14:textId="77777777" w:rsidR="00C01300" w:rsidRDefault="00C01300" w:rsidP="00186FBF">
            <w:pPr>
              <w:spacing w:before="40" w:after="60"/>
              <w:rPr>
                <w:rFonts w:ascii="Arial" w:hAnsi="Arial" w:cs="Arial"/>
                <w:sz w:val="24"/>
                <w:szCs w:val="24"/>
                <w:lang w:eastAsia="en-GB"/>
              </w:rPr>
            </w:pPr>
            <w:r>
              <w:rPr>
                <w:rFonts w:ascii="Arial" w:hAnsi="Arial" w:cs="Arial"/>
                <w:sz w:val="24"/>
                <w:szCs w:val="24"/>
                <w:lang w:eastAsia="en-GB"/>
              </w:rPr>
              <w:t xml:space="preserve">Total monetary value of a) the fraud and b) the irregularity that was recovered </w:t>
            </w:r>
          </w:p>
        </w:tc>
        <w:tc>
          <w:tcPr>
            <w:tcW w:w="238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43DB02C" w14:textId="19F87776" w:rsidR="00C01300" w:rsidRPr="00C01300" w:rsidRDefault="00C01300" w:rsidP="00C01300">
            <w:pPr>
              <w:spacing w:before="40" w:after="60" w:line="240" w:lineRule="auto"/>
              <w:jc w:val="center"/>
              <w:rPr>
                <w:rFonts w:ascii="Arial" w:hAnsi="Arial" w:cs="Arial"/>
                <w:sz w:val="24"/>
                <w:szCs w:val="24"/>
                <w:lang w:eastAsia="en-GB"/>
              </w:rPr>
            </w:pPr>
            <w:r w:rsidRPr="00C01300">
              <w:rPr>
                <w:rFonts w:ascii="Arial" w:hAnsi="Arial" w:cs="Arial"/>
                <w:sz w:val="24"/>
                <w:szCs w:val="24"/>
                <w:lang w:eastAsia="en-GB"/>
              </w:rPr>
              <w:t>£</w:t>
            </w:r>
            <w:r w:rsidR="00F83621">
              <w:rPr>
                <w:rFonts w:ascii="Arial" w:hAnsi="Arial" w:cs="Arial"/>
                <w:sz w:val="24"/>
                <w:szCs w:val="24"/>
                <w:lang w:eastAsia="en-GB"/>
              </w:rPr>
              <w:t>189,922.09</w:t>
            </w:r>
          </w:p>
          <w:p w14:paraId="33CEE869" w14:textId="313C58E9" w:rsidR="00C01300" w:rsidRDefault="00C01300" w:rsidP="00186FBF">
            <w:pPr>
              <w:pStyle w:val="ListParagraph"/>
              <w:spacing w:before="40" w:after="60" w:line="240" w:lineRule="auto"/>
              <w:ind w:left="430"/>
              <w:rPr>
                <w:rFonts w:ascii="Arial" w:hAnsi="Arial" w:cs="Arial"/>
                <w:color w:val="FF0000"/>
                <w:sz w:val="16"/>
                <w:szCs w:val="16"/>
                <w:lang w:eastAsia="en-GB"/>
              </w:rPr>
            </w:pPr>
          </w:p>
        </w:tc>
        <w:tc>
          <w:tcPr>
            <w:tcW w:w="2495" w:type="dxa"/>
            <w:tcBorders>
              <w:top w:val="single" w:sz="4" w:space="0" w:color="auto"/>
              <w:left w:val="nil"/>
              <w:right w:val="single" w:sz="8" w:space="0" w:color="auto"/>
            </w:tcBorders>
            <w:vAlign w:val="center"/>
          </w:tcPr>
          <w:p w14:paraId="17C784E6" w14:textId="2E2DB568" w:rsidR="00C01300" w:rsidRPr="00C01300" w:rsidRDefault="00750341" w:rsidP="00C01300">
            <w:pPr>
              <w:spacing w:before="40" w:after="60" w:line="240" w:lineRule="auto"/>
              <w:jc w:val="center"/>
              <w:rPr>
                <w:rFonts w:ascii="Arial" w:hAnsi="Arial" w:cs="Arial"/>
                <w:sz w:val="24"/>
                <w:szCs w:val="24"/>
                <w:lang w:eastAsia="en-GB"/>
              </w:rPr>
            </w:pPr>
            <w:r w:rsidRPr="00C01300">
              <w:rPr>
                <w:rFonts w:ascii="Arial" w:hAnsi="Arial" w:cs="Arial"/>
                <w:sz w:val="24"/>
                <w:szCs w:val="24"/>
                <w:lang w:eastAsia="en-GB"/>
              </w:rPr>
              <w:t>£</w:t>
            </w:r>
            <w:r>
              <w:rPr>
                <w:rFonts w:ascii="Arial" w:hAnsi="Arial" w:cs="Arial"/>
                <w:sz w:val="24"/>
                <w:szCs w:val="24"/>
                <w:lang w:eastAsia="en-GB"/>
              </w:rPr>
              <w:t>26,119.61</w:t>
            </w:r>
          </w:p>
        </w:tc>
      </w:tr>
      <w:tr w:rsidR="00C01300" w14:paraId="09386D98" w14:textId="77777777" w:rsidTr="00C01300">
        <w:trPr>
          <w:trHeight w:val="675"/>
          <w:jc w:val="center"/>
        </w:trPr>
        <w:tc>
          <w:tcPr>
            <w:tcW w:w="4127"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06D81CE" w14:textId="77777777" w:rsidR="00C01300" w:rsidRDefault="00C01300" w:rsidP="00186FBF">
            <w:pPr>
              <w:spacing w:before="40" w:after="60"/>
              <w:rPr>
                <w:rFonts w:ascii="Arial" w:hAnsi="Arial" w:cs="Arial"/>
                <w:sz w:val="24"/>
                <w:szCs w:val="24"/>
                <w:lang w:eastAsia="en-GB"/>
              </w:rPr>
            </w:pPr>
          </w:p>
        </w:tc>
        <w:tc>
          <w:tcPr>
            <w:tcW w:w="487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BF927CE" w14:textId="5E1563DD" w:rsidR="00E50883" w:rsidRPr="00E4301D" w:rsidRDefault="00E4301D" w:rsidP="00E50883">
            <w:pPr>
              <w:spacing w:before="40" w:after="60" w:line="240" w:lineRule="auto"/>
              <w:jc w:val="center"/>
              <w:rPr>
                <w:rFonts w:ascii="Arial" w:hAnsi="Arial" w:cs="Arial"/>
                <w:b/>
                <w:bCs/>
                <w:sz w:val="16"/>
                <w:szCs w:val="16"/>
                <w:lang w:eastAsia="en-GB"/>
              </w:rPr>
            </w:pPr>
            <w:r>
              <w:rPr>
                <w:rFonts w:ascii="Arial" w:hAnsi="Arial" w:cs="Arial"/>
                <w:b/>
                <w:bCs/>
                <w:sz w:val="16"/>
                <w:szCs w:val="16"/>
                <w:lang w:eastAsia="en-GB"/>
              </w:rPr>
              <w:t>Total: £</w:t>
            </w:r>
            <w:r w:rsidR="00CA0DBB">
              <w:rPr>
                <w:rFonts w:ascii="Arial" w:hAnsi="Arial" w:cs="Arial"/>
                <w:b/>
                <w:bCs/>
                <w:sz w:val="16"/>
                <w:szCs w:val="16"/>
                <w:lang w:eastAsia="en-GB"/>
              </w:rPr>
              <w:t>216</w:t>
            </w:r>
            <w:r w:rsidR="00E50883">
              <w:rPr>
                <w:rFonts w:ascii="Arial" w:hAnsi="Arial" w:cs="Arial"/>
                <w:b/>
                <w:bCs/>
                <w:sz w:val="16"/>
                <w:szCs w:val="16"/>
                <w:lang w:eastAsia="en-GB"/>
              </w:rPr>
              <w:t>,041.70</w:t>
            </w:r>
          </w:p>
          <w:p w14:paraId="5F48DC4D" w14:textId="62FF3076" w:rsidR="00C01300" w:rsidRPr="00C01300" w:rsidRDefault="00C01300" w:rsidP="00E4301D">
            <w:pPr>
              <w:spacing w:before="40" w:after="60" w:line="240" w:lineRule="auto"/>
              <w:jc w:val="center"/>
              <w:rPr>
                <w:rFonts w:ascii="Arial" w:hAnsi="Arial" w:cs="Arial"/>
                <w:sz w:val="24"/>
                <w:szCs w:val="24"/>
                <w:lang w:eastAsia="en-GB"/>
              </w:rPr>
            </w:pPr>
            <w:r>
              <w:rPr>
                <w:rFonts w:ascii="Arial" w:hAnsi="Arial" w:cs="Arial"/>
                <w:sz w:val="16"/>
                <w:szCs w:val="16"/>
                <w:lang w:eastAsia="en-GB"/>
              </w:rPr>
              <w:t xml:space="preserve">Includes </w:t>
            </w:r>
            <w:r w:rsidR="00242A90">
              <w:rPr>
                <w:rFonts w:ascii="Arial" w:hAnsi="Arial" w:cs="Arial"/>
                <w:sz w:val="16"/>
                <w:szCs w:val="16"/>
                <w:lang w:eastAsia="en-GB"/>
              </w:rPr>
              <w:t>23/24</w:t>
            </w:r>
            <w:r>
              <w:rPr>
                <w:rFonts w:ascii="Arial" w:hAnsi="Arial" w:cs="Arial"/>
                <w:sz w:val="16"/>
                <w:szCs w:val="16"/>
                <w:lang w:eastAsia="en-GB"/>
              </w:rPr>
              <w:t xml:space="preserve"> </w:t>
            </w:r>
            <w:r w:rsidR="001B024F">
              <w:rPr>
                <w:rFonts w:ascii="Arial" w:hAnsi="Arial" w:cs="Arial"/>
                <w:sz w:val="16"/>
                <w:szCs w:val="16"/>
                <w:lang w:eastAsia="en-GB"/>
              </w:rPr>
              <w:t xml:space="preserve">recoveries </w:t>
            </w:r>
            <w:r>
              <w:rPr>
                <w:rFonts w:ascii="Arial" w:hAnsi="Arial" w:cs="Arial"/>
                <w:sz w:val="16"/>
                <w:szCs w:val="16"/>
                <w:lang w:eastAsia="en-GB"/>
              </w:rPr>
              <w:t xml:space="preserve">related to previous years. </w:t>
            </w:r>
            <w:r w:rsidR="001B024F">
              <w:rPr>
                <w:rFonts w:ascii="Arial" w:hAnsi="Arial" w:cs="Arial"/>
                <w:sz w:val="16"/>
                <w:szCs w:val="16"/>
                <w:lang w:eastAsia="en-GB"/>
              </w:rPr>
              <w:br/>
            </w:r>
            <w:r>
              <w:rPr>
                <w:rFonts w:ascii="Arial" w:hAnsi="Arial" w:cs="Arial"/>
                <w:sz w:val="16"/>
                <w:szCs w:val="16"/>
                <w:lang w:eastAsia="en-GB"/>
              </w:rPr>
              <w:t>Excludes</w:t>
            </w:r>
            <w:r w:rsidR="00CE4DF0">
              <w:rPr>
                <w:rFonts w:ascii="Arial" w:hAnsi="Arial" w:cs="Arial"/>
                <w:sz w:val="16"/>
                <w:szCs w:val="16"/>
                <w:lang w:eastAsia="en-GB"/>
              </w:rPr>
              <w:t xml:space="preserve"> </w:t>
            </w:r>
            <w:r w:rsidR="00F06453">
              <w:rPr>
                <w:rFonts w:ascii="Arial" w:hAnsi="Arial" w:cs="Arial"/>
                <w:sz w:val="16"/>
                <w:szCs w:val="16"/>
                <w:lang w:eastAsia="en-GB"/>
              </w:rPr>
              <w:t xml:space="preserve">agreed repayment plans due in </w:t>
            </w:r>
            <w:r w:rsidR="001B024F">
              <w:rPr>
                <w:rFonts w:ascii="Arial" w:hAnsi="Arial" w:cs="Arial"/>
                <w:sz w:val="16"/>
                <w:szCs w:val="16"/>
                <w:lang w:eastAsia="en-GB"/>
              </w:rPr>
              <w:t>202</w:t>
            </w:r>
            <w:r w:rsidR="00F06453">
              <w:rPr>
                <w:rFonts w:ascii="Arial" w:hAnsi="Arial" w:cs="Arial"/>
                <w:sz w:val="16"/>
                <w:szCs w:val="16"/>
                <w:lang w:eastAsia="en-GB"/>
              </w:rPr>
              <w:t>4</w:t>
            </w:r>
            <w:r w:rsidR="001B024F">
              <w:rPr>
                <w:rFonts w:ascii="Arial" w:hAnsi="Arial" w:cs="Arial"/>
                <w:sz w:val="16"/>
                <w:szCs w:val="16"/>
                <w:lang w:eastAsia="en-GB"/>
              </w:rPr>
              <w:t>/2</w:t>
            </w:r>
            <w:r w:rsidR="00F06453">
              <w:rPr>
                <w:rFonts w:ascii="Arial" w:hAnsi="Arial" w:cs="Arial"/>
                <w:sz w:val="16"/>
                <w:szCs w:val="16"/>
                <w:lang w:eastAsia="en-GB"/>
              </w:rPr>
              <w:t>5</w:t>
            </w:r>
            <w:r w:rsidR="00CE4DF0">
              <w:rPr>
                <w:rFonts w:ascii="Arial" w:hAnsi="Arial" w:cs="Arial"/>
                <w:sz w:val="16"/>
                <w:szCs w:val="16"/>
                <w:lang w:eastAsia="en-GB"/>
              </w:rPr>
              <w:t>.</w:t>
            </w:r>
          </w:p>
        </w:tc>
      </w:tr>
    </w:tbl>
    <w:p w14:paraId="572D8CD1" w14:textId="77777777" w:rsidR="00C01300" w:rsidRDefault="00C01300" w:rsidP="00AF2126">
      <w:pPr>
        <w:rPr>
          <w:rFonts w:ascii="Calibri" w:hAnsi="Calibri" w:cs="Calibri"/>
        </w:rPr>
      </w:pPr>
    </w:p>
    <w:p w14:paraId="5B0A35DB" w14:textId="77777777" w:rsidR="00896830" w:rsidRDefault="00896830"/>
    <w:sectPr w:rsidR="00896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63C8F"/>
    <w:multiLevelType w:val="hybridMultilevel"/>
    <w:tmpl w:val="D0F002E8"/>
    <w:lvl w:ilvl="0" w:tplc="0076194C">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6E482E"/>
    <w:multiLevelType w:val="hybridMultilevel"/>
    <w:tmpl w:val="C088A30A"/>
    <w:lvl w:ilvl="0" w:tplc="1B28392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377024"/>
    <w:multiLevelType w:val="hybridMultilevel"/>
    <w:tmpl w:val="AC1880C2"/>
    <w:lvl w:ilvl="0" w:tplc="4762FFB6">
      <w:start w:val="1"/>
      <w:numFmt w:val="lowerLetter"/>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9811DF8"/>
    <w:multiLevelType w:val="hybridMultilevel"/>
    <w:tmpl w:val="B7D044F2"/>
    <w:lvl w:ilvl="0" w:tplc="A77EF5B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32460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6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42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75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26"/>
    <w:rsid w:val="00092870"/>
    <w:rsid w:val="000C5E0D"/>
    <w:rsid w:val="001A5E0F"/>
    <w:rsid w:val="001A7FB7"/>
    <w:rsid w:val="001B024F"/>
    <w:rsid w:val="001F0F8D"/>
    <w:rsid w:val="002423BA"/>
    <w:rsid w:val="00242A90"/>
    <w:rsid w:val="00255EB4"/>
    <w:rsid w:val="00261675"/>
    <w:rsid w:val="00265CE5"/>
    <w:rsid w:val="002C4766"/>
    <w:rsid w:val="002E1478"/>
    <w:rsid w:val="002E62CB"/>
    <w:rsid w:val="002E683F"/>
    <w:rsid w:val="0030213D"/>
    <w:rsid w:val="003173E6"/>
    <w:rsid w:val="00332030"/>
    <w:rsid w:val="003D15C4"/>
    <w:rsid w:val="00417FA2"/>
    <w:rsid w:val="00430C2D"/>
    <w:rsid w:val="00485F75"/>
    <w:rsid w:val="004B4C5D"/>
    <w:rsid w:val="00511E97"/>
    <w:rsid w:val="005378BF"/>
    <w:rsid w:val="005520D5"/>
    <w:rsid w:val="0060476F"/>
    <w:rsid w:val="00610A33"/>
    <w:rsid w:val="00612A58"/>
    <w:rsid w:val="00615FCF"/>
    <w:rsid w:val="0063451F"/>
    <w:rsid w:val="006B6019"/>
    <w:rsid w:val="00717C8A"/>
    <w:rsid w:val="00750341"/>
    <w:rsid w:val="00762147"/>
    <w:rsid w:val="007D4D69"/>
    <w:rsid w:val="00896830"/>
    <w:rsid w:val="008D24F8"/>
    <w:rsid w:val="00926F60"/>
    <w:rsid w:val="00962E56"/>
    <w:rsid w:val="00964B56"/>
    <w:rsid w:val="00A27B11"/>
    <w:rsid w:val="00A27B79"/>
    <w:rsid w:val="00AD3994"/>
    <w:rsid w:val="00AF2126"/>
    <w:rsid w:val="00B33431"/>
    <w:rsid w:val="00B916BE"/>
    <w:rsid w:val="00BC2CF0"/>
    <w:rsid w:val="00C01300"/>
    <w:rsid w:val="00C07D4C"/>
    <w:rsid w:val="00C5181C"/>
    <w:rsid w:val="00C66B79"/>
    <w:rsid w:val="00C72953"/>
    <w:rsid w:val="00C72A82"/>
    <w:rsid w:val="00C72B60"/>
    <w:rsid w:val="00CA0DBB"/>
    <w:rsid w:val="00CE4DF0"/>
    <w:rsid w:val="00D12155"/>
    <w:rsid w:val="00D64578"/>
    <w:rsid w:val="00DB682F"/>
    <w:rsid w:val="00E044E8"/>
    <w:rsid w:val="00E17F43"/>
    <w:rsid w:val="00E218B5"/>
    <w:rsid w:val="00E355BF"/>
    <w:rsid w:val="00E4301D"/>
    <w:rsid w:val="00E50883"/>
    <w:rsid w:val="00E568E9"/>
    <w:rsid w:val="00EA5941"/>
    <w:rsid w:val="00F06453"/>
    <w:rsid w:val="00F5146B"/>
    <w:rsid w:val="00F83621"/>
    <w:rsid w:val="00FC1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4184"/>
  <w15:chartTrackingRefBased/>
  <w15:docId w15:val="{342CDF9D-634D-4108-A6E5-C5EC333B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126"/>
    <w:pPr>
      <w:ind w:left="720"/>
      <w:contextualSpacing/>
    </w:pPr>
  </w:style>
  <w:style w:type="character" w:styleId="CommentReference">
    <w:name w:val="annotation reference"/>
    <w:basedOn w:val="DefaultParagraphFont"/>
    <w:uiPriority w:val="99"/>
    <w:semiHidden/>
    <w:unhideWhenUsed/>
    <w:rsid w:val="00C01300"/>
    <w:rPr>
      <w:sz w:val="16"/>
      <w:szCs w:val="16"/>
    </w:rPr>
  </w:style>
  <w:style w:type="paragraph" w:styleId="CommentText">
    <w:name w:val="annotation text"/>
    <w:basedOn w:val="Normal"/>
    <w:link w:val="CommentTextChar"/>
    <w:uiPriority w:val="99"/>
    <w:unhideWhenUsed/>
    <w:rsid w:val="00C01300"/>
    <w:pPr>
      <w:spacing w:line="240" w:lineRule="auto"/>
    </w:pPr>
    <w:rPr>
      <w:sz w:val="20"/>
      <w:szCs w:val="20"/>
    </w:rPr>
  </w:style>
  <w:style w:type="character" w:customStyle="1" w:styleId="CommentTextChar">
    <w:name w:val="Comment Text Char"/>
    <w:basedOn w:val="DefaultParagraphFont"/>
    <w:link w:val="CommentText"/>
    <w:uiPriority w:val="99"/>
    <w:rsid w:val="00C01300"/>
    <w:rPr>
      <w:sz w:val="20"/>
      <w:szCs w:val="20"/>
    </w:rPr>
  </w:style>
  <w:style w:type="paragraph" w:styleId="CommentSubject">
    <w:name w:val="annotation subject"/>
    <w:basedOn w:val="CommentText"/>
    <w:next w:val="CommentText"/>
    <w:link w:val="CommentSubjectChar"/>
    <w:uiPriority w:val="99"/>
    <w:semiHidden/>
    <w:unhideWhenUsed/>
    <w:rsid w:val="00C01300"/>
    <w:rPr>
      <w:b/>
      <w:bCs/>
    </w:rPr>
  </w:style>
  <w:style w:type="character" w:customStyle="1" w:styleId="CommentSubjectChar">
    <w:name w:val="Comment Subject Char"/>
    <w:basedOn w:val="CommentTextChar"/>
    <w:link w:val="CommentSubject"/>
    <w:uiPriority w:val="99"/>
    <w:semiHidden/>
    <w:rsid w:val="00C013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FBDDBF4ECEB4C98F2D9837BD9C1E8" ma:contentTypeVersion="6" ma:contentTypeDescription="Create a new document." ma:contentTypeScope="" ma:versionID="e1e2a31abf2281a4d28bec970e99c438">
  <xsd:schema xmlns:xsd="http://www.w3.org/2001/XMLSchema" xmlns:xs="http://www.w3.org/2001/XMLSchema" xmlns:p="http://schemas.microsoft.com/office/2006/metadata/properties" xmlns:ns2="7551d811-8a39-41bd-b3af-a7cb393b8a5e" xmlns:ns3="69fbd81d-9fd2-4e3e-a410-19e2d7e34764" targetNamespace="http://schemas.microsoft.com/office/2006/metadata/properties" ma:root="true" ma:fieldsID="ddfedb3dbd63388e3a1835063ce1dfb3" ns2:_="" ns3:_="">
    <xsd:import namespace="7551d811-8a39-41bd-b3af-a7cb393b8a5e"/>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d811-8a39-41bd-b3af-a7cb393b8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51121-F83B-4E6A-8E1F-3095284D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d811-8a39-41bd-b3af-a7cb393b8a5e"/>
    <ds:schemaRef ds:uri="69fbd81d-9fd2-4e3e-a410-19e2d7e34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8A339-E89E-4B73-AFDE-861084E7037E}">
  <ds:schemaRefs>
    <ds:schemaRef ds:uri="http://schemas.microsoft.com/sharepoint/v3/contenttype/forms"/>
  </ds:schemaRefs>
</ds:datastoreItem>
</file>

<file path=customXml/itemProps3.xml><?xml version="1.0" encoding="utf-8"?>
<ds:datastoreItem xmlns:ds="http://schemas.openxmlformats.org/officeDocument/2006/customXml" ds:itemID="{7F5FBF37-0F05-4EA4-BCC3-AC317FEAC95F}">
  <ds:schemaRef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7551d811-8a39-41bd-b3af-a7cb393b8a5e"/>
    <ds:schemaRef ds:uri="http://schemas.microsoft.com/office/infopath/2007/PartnerControls"/>
    <ds:schemaRef ds:uri="69fbd81d-9fd2-4e3e-a410-19e2d7e3476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WIGNALL, Carolyne</dc:creator>
  <cp:keywords/>
  <dc:description/>
  <cp:lastModifiedBy>JOHNSON, Bill</cp:lastModifiedBy>
  <cp:revision>2</cp:revision>
  <dcterms:created xsi:type="dcterms:W3CDTF">2024-09-11T12:54:00Z</dcterms:created>
  <dcterms:modified xsi:type="dcterms:W3CDTF">2024-09-11T12:54:00Z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0x0101003BCFBDDBF4ECEB4C98F2D9837BD9C1E8</vt:lpwstr>
  </property>
  <property fmtid="{D5CDD505-2E9C-101B-9397-08002B2CF9AE}" pid="3" name="Order">
    <vt:r8>46800</vt:r8>
  </property>
</Properties>
</file>