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B83" w:rsidRPr="003E77C6" w:rsidRDefault="009121A0" w:rsidP="00F91107">
      <w:pPr>
        <w:spacing w:after="0"/>
        <w:jc w:val="center"/>
        <w:rPr>
          <w:rFonts w:ascii="Arial" w:hAnsi="Arial" w:cs="Arial"/>
          <w:b/>
          <w:sz w:val="28"/>
          <w:szCs w:val="28"/>
        </w:rPr>
      </w:pPr>
      <w:r w:rsidRPr="003E77C6">
        <w:rPr>
          <w:rFonts w:ascii="Arial" w:hAnsi="Arial" w:cs="Arial"/>
          <w:b/>
          <w:sz w:val="28"/>
          <w:szCs w:val="28"/>
        </w:rPr>
        <w:t xml:space="preserve">DCS Update </w:t>
      </w:r>
      <w:r w:rsidR="00541E40" w:rsidRPr="003E77C6">
        <w:rPr>
          <w:rFonts w:ascii="Arial" w:hAnsi="Arial" w:cs="Arial"/>
          <w:b/>
          <w:sz w:val="28"/>
          <w:szCs w:val="28"/>
        </w:rPr>
        <w:t>March</w:t>
      </w:r>
      <w:r w:rsidRPr="003E77C6">
        <w:rPr>
          <w:rFonts w:ascii="Arial" w:hAnsi="Arial" w:cs="Arial"/>
          <w:b/>
          <w:sz w:val="28"/>
          <w:szCs w:val="28"/>
        </w:rPr>
        <w:t xml:space="preserve"> 2018</w:t>
      </w:r>
    </w:p>
    <w:p w:rsidR="00F91107" w:rsidRDefault="00F91107" w:rsidP="009121A0">
      <w:pPr>
        <w:spacing w:after="0"/>
        <w:rPr>
          <w:rFonts w:ascii="Arial" w:hAnsi="Arial" w:cs="Arial"/>
          <w:b/>
        </w:rPr>
      </w:pPr>
    </w:p>
    <w:p w:rsidR="00541E40" w:rsidRPr="003E77C6" w:rsidRDefault="00541E40" w:rsidP="009121A0">
      <w:pPr>
        <w:spacing w:after="0"/>
        <w:rPr>
          <w:rFonts w:ascii="Arial" w:hAnsi="Arial" w:cs="Arial"/>
          <w:b/>
        </w:rPr>
      </w:pPr>
      <w:r w:rsidRPr="003E77C6">
        <w:rPr>
          <w:rFonts w:ascii="Arial" w:hAnsi="Arial" w:cs="Arial"/>
          <w:b/>
        </w:rPr>
        <w:t>Children’s Social Care Improvement Programme</w:t>
      </w:r>
    </w:p>
    <w:p w:rsidR="00F91107" w:rsidRDefault="00F91107" w:rsidP="00F17775">
      <w:pPr>
        <w:spacing w:after="0"/>
        <w:jc w:val="both"/>
        <w:rPr>
          <w:rFonts w:ascii="Arial" w:hAnsi="Arial" w:cs="Arial"/>
        </w:rPr>
      </w:pPr>
    </w:p>
    <w:p w:rsidR="00541E40" w:rsidRPr="003E77C6" w:rsidRDefault="00541E40" w:rsidP="00F17775">
      <w:pPr>
        <w:spacing w:after="0"/>
        <w:jc w:val="both"/>
        <w:rPr>
          <w:rFonts w:ascii="Arial" w:hAnsi="Arial" w:cs="Arial"/>
        </w:rPr>
      </w:pPr>
      <w:r w:rsidRPr="003E77C6">
        <w:rPr>
          <w:rFonts w:ascii="Arial" w:hAnsi="Arial" w:cs="Arial"/>
        </w:rPr>
        <w:t>Our focus continues to be on improving our Children’s Social Care Services. In January Ofsted undertook their second Monitoring Visit that highlighted some areas of progress;</w:t>
      </w:r>
    </w:p>
    <w:p w:rsidR="00F17775" w:rsidRPr="003E77C6" w:rsidRDefault="00F17775" w:rsidP="00F17775">
      <w:pPr>
        <w:spacing w:after="0"/>
        <w:jc w:val="both"/>
        <w:rPr>
          <w:rFonts w:ascii="Arial" w:hAnsi="Arial" w:cs="Arial"/>
        </w:rPr>
      </w:pPr>
    </w:p>
    <w:p w:rsidR="00541E40" w:rsidRPr="003E77C6" w:rsidRDefault="00541E40" w:rsidP="00F17775">
      <w:pPr>
        <w:pStyle w:val="ListParagraph"/>
        <w:numPr>
          <w:ilvl w:val="0"/>
          <w:numId w:val="3"/>
        </w:numPr>
        <w:spacing w:after="0"/>
        <w:jc w:val="both"/>
        <w:rPr>
          <w:rFonts w:ascii="Arial" w:hAnsi="Arial" w:cs="Arial"/>
        </w:rPr>
      </w:pPr>
      <w:r w:rsidRPr="003E77C6">
        <w:rPr>
          <w:rFonts w:ascii="Arial" w:hAnsi="Arial" w:cs="Arial"/>
        </w:rPr>
        <w:t>Recruitment of additional social workers</w:t>
      </w:r>
    </w:p>
    <w:p w:rsidR="00541E40" w:rsidRPr="003E77C6" w:rsidRDefault="00541E40" w:rsidP="00F17775">
      <w:pPr>
        <w:pStyle w:val="ListParagraph"/>
        <w:numPr>
          <w:ilvl w:val="0"/>
          <w:numId w:val="3"/>
        </w:numPr>
        <w:spacing w:after="0"/>
        <w:jc w:val="both"/>
        <w:rPr>
          <w:rFonts w:ascii="Arial" w:hAnsi="Arial" w:cs="Arial"/>
        </w:rPr>
      </w:pPr>
      <w:r w:rsidRPr="003E77C6">
        <w:rPr>
          <w:rFonts w:ascii="Arial" w:hAnsi="Arial" w:cs="Arial"/>
        </w:rPr>
        <w:t>Development of our quality assurance framework</w:t>
      </w:r>
    </w:p>
    <w:p w:rsidR="00541E40" w:rsidRPr="003E77C6" w:rsidRDefault="00541E40" w:rsidP="00F17775">
      <w:pPr>
        <w:pStyle w:val="ListParagraph"/>
        <w:numPr>
          <w:ilvl w:val="0"/>
          <w:numId w:val="3"/>
        </w:numPr>
        <w:spacing w:after="0"/>
        <w:jc w:val="both"/>
        <w:rPr>
          <w:rFonts w:ascii="Arial" w:hAnsi="Arial" w:cs="Arial"/>
        </w:rPr>
      </w:pPr>
      <w:r w:rsidRPr="003E77C6">
        <w:rPr>
          <w:rFonts w:ascii="Arial" w:hAnsi="Arial" w:cs="Arial"/>
        </w:rPr>
        <w:t>Staff morale and confidence in senior leaders had improved</w:t>
      </w:r>
    </w:p>
    <w:p w:rsidR="00541E40" w:rsidRPr="003E77C6" w:rsidRDefault="00541E40" w:rsidP="00F17775">
      <w:pPr>
        <w:pStyle w:val="ListParagraph"/>
        <w:numPr>
          <w:ilvl w:val="0"/>
          <w:numId w:val="3"/>
        </w:numPr>
        <w:spacing w:after="0"/>
        <w:jc w:val="both"/>
        <w:rPr>
          <w:rFonts w:ascii="Arial" w:hAnsi="Arial" w:cs="Arial"/>
        </w:rPr>
      </w:pPr>
      <w:r w:rsidRPr="003E77C6">
        <w:rPr>
          <w:rFonts w:ascii="Arial" w:hAnsi="Arial" w:cs="Arial"/>
        </w:rPr>
        <w:t>Delays at the Front Door had reduced and the changes whilst new were heading in the right direction.</w:t>
      </w:r>
    </w:p>
    <w:p w:rsidR="00541E40" w:rsidRPr="003E77C6" w:rsidRDefault="00541E40" w:rsidP="00F17775">
      <w:pPr>
        <w:pStyle w:val="ListParagraph"/>
        <w:numPr>
          <w:ilvl w:val="0"/>
          <w:numId w:val="3"/>
        </w:numPr>
        <w:spacing w:after="0"/>
        <w:jc w:val="both"/>
        <w:rPr>
          <w:rFonts w:ascii="Arial" w:hAnsi="Arial" w:cs="Arial"/>
        </w:rPr>
      </w:pPr>
      <w:r w:rsidRPr="003E77C6">
        <w:rPr>
          <w:rFonts w:ascii="Arial" w:hAnsi="Arial" w:cs="Arial"/>
        </w:rPr>
        <w:t>Cases were allocated to social workers, at the previous visit due to social work recruitment issues this was not the case</w:t>
      </w:r>
    </w:p>
    <w:p w:rsidR="00541E40" w:rsidRPr="003E77C6" w:rsidRDefault="00541E40" w:rsidP="00F17775">
      <w:pPr>
        <w:pStyle w:val="ListParagraph"/>
        <w:numPr>
          <w:ilvl w:val="0"/>
          <w:numId w:val="3"/>
        </w:numPr>
        <w:spacing w:after="0"/>
        <w:jc w:val="both"/>
        <w:rPr>
          <w:rFonts w:ascii="Arial" w:hAnsi="Arial" w:cs="Arial"/>
        </w:rPr>
      </w:pPr>
      <w:r w:rsidRPr="003E77C6">
        <w:rPr>
          <w:rFonts w:ascii="Arial" w:hAnsi="Arial" w:cs="Arial"/>
        </w:rPr>
        <w:t xml:space="preserve">Assessments were completed in the timely way </w:t>
      </w:r>
    </w:p>
    <w:p w:rsidR="00541E40" w:rsidRPr="003E77C6" w:rsidRDefault="00541E40" w:rsidP="00F17775">
      <w:pPr>
        <w:pStyle w:val="ListParagraph"/>
        <w:numPr>
          <w:ilvl w:val="0"/>
          <w:numId w:val="3"/>
        </w:numPr>
        <w:spacing w:after="0"/>
        <w:jc w:val="both"/>
        <w:rPr>
          <w:rFonts w:ascii="Arial" w:hAnsi="Arial" w:cs="Arial"/>
        </w:rPr>
      </w:pPr>
      <w:r w:rsidRPr="003E77C6">
        <w:rPr>
          <w:rFonts w:ascii="Arial" w:hAnsi="Arial" w:cs="Arial"/>
        </w:rPr>
        <w:t>Social workers are now receiving supervision.</w:t>
      </w:r>
    </w:p>
    <w:p w:rsidR="00F17775" w:rsidRPr="003E77C6" w:rsidRDefault="00F17775" w:rsidP="00F17775">
      <w:pPr>
        <w:pStyle w:val="ListParagraph"/>
        <w:spacing w:after="0"/>
        <w:jc w:val="both"/>
        <w:rPr>
          <w:rFonts w:ascii="Arial" w:hAnsi="Arial" w:cs="Arial"/>
        </w:rPr>
      </w:pPr>
    </w:p>
    <w:p w:rsidR="00F17775" w:rsidRPr="003E77C6" w:rsidRDefault="00541E40" w:rsidP="00F17775">
      <w:pPr>
        <w:spacing w:after="0"/>
        <w:jc w:val="both"/>
        <w:rPr>
          <w:rFonts w:ascii="Arial" w:hAnsi="Arial" w:cs="Arial"/>
        </w:rPr>
      </w:pPr>
      <w:r w:rsidRPr="003E77C6">
        <w:rPr>
          <w:rFonts w:ascii="Arial" w:hAnsi="Arial" w:cs="Arial"/>
        </w:rPr>
        <w:t xml:space="preserve">However it is clear that they is more that we need to do to improve the quality of our social work practice. Ofsted found practice to be far to variable. Drift and delay for children </w:t>
      </w:r>
      <w:r w:rsidR="00B95FA4" w:rsidRPr="003E77C6">
        <w:rPr>
          <w:rFonts w:ascii="Arial" w:hAnsi="Arial" w:cs="Arial"/>
        </w:rPr>
        <w:t>is still evident. As a partnership we need to improve our response to attendance at strategy meetings and ensuring that we work together to safeguard children more effectively. A copy of the letter is available here</w:t>
      </w:r>
      <w:r w:rsidRPr="003E77C6">
        <w:rPr>
          <w:rFonts w:ascii="Arial" w:hAnsi="Arial" w:cs="Arial"/>
        </w:rPr>
        <w:t xml:space="preserve"> </w:t>
      </w:r>
      <w:r w:rsidR="002A2A93">
        <w:rPr>
          <w:rFonts w:ascii="Arial" w:hAnsi="Arial" w:cs="Arial"/>
        </w:rPr>
        <w:t xml:space="preserve">   </w:t>
      </w:r>
      <w:hyperlink r:id="rId6" w:history="1">
        <w:r w:rsidR="009121A0" w:rsidRPr="003E77C6">
          <w:rPr>
            <w:rStyle w:val="Hyperlink"/>
            <w:rFonts w:ascii="Arial" w:hAnsi="Arial" w:cs="Arial"/>
          </w:rPr>
          <w:t>https://reports.ofsted.gov.uk/local-authorities/gloucestershire</w:t>
        </w:r>
      </w:hyperlink>
      <w:r w:rsidR="009121A0" w:rsidRPr="003E77C6">
        <w:rPr>
          <w:rFonts w:ascii="Arial" w:hAnsi="Arial" w:cs="Arial"/>
        </w:rPr>
        <w:t xml:space="preserve">. </w:t>
      </w:r>
    </w:p>
    <w:p w:rsidR="00844274" w:rsidRPr="003E77C6" w:rsidRDefault="00844274" w:rsidP="00F17775">
      <w:pPr>
        <w:spacing w:after="0"/>
        <w:jc w:val="both"/>
        <w:rPr>
          <w:rFonts w:ascii="Arial" w:hAnsi="Arial" w:cs="Arial"/>
        </w:rPr>
      </w:pPr>
      <w:r w:rsidRPr="003E77C6">
        <w:rPr>
          <w:rFonts w:ascii="Arial" w:hAnsi="Arial" w:cs="Arial"/>
        </w:rPr>
        <w:t>Our next monitoring visit is planned for the 15</w:t>
      </w:r>
      <w:r w:rsidRPr="003E77C6">
        <w:rPr>
          <w:rFonts w:ascii="Arial" w:hAnsi="Arial" w:cs="Arial"/>
          <w:vertAlign w:val="superscript"/>
        </w:rPr>
        <w:t>th</w:t>
      </w:r>
      <w:r w:rsidRPr="003E77C6">
        <w:rPr>
          <w:rFonts w:ascii="Arial" w:hAnsi="Arial" w:cs="Arial"/>
        </w:rPr>
        <w:t xml:space="preserve"> and 16</w:t>
      </w:r>
      <w:r w:rsidRPr="003E77C6">
        <w:rPr>
          <w:rFonts w:ascii="Arial" w:hAnsi="Arial" w:cs="Arial"/>
          <w:vertAlign w:val="superscript"/>
        </w:rPr>
        <w:t>th</w:t>
      </w:r>
      <w:r w:rsidRPr="003E77C6">
        <w:rPr>
          <w:rFonts w:ascii="Arial" w:hAnsi="Arial" w:cs="Arial"/>
        </w:rPr>
        <w:t xml:space="preserve"> of May. </w:t>
      </w:r>
    </w:p>
    <w:p w:rsidR="00844274" w:rsidRPr="003E77C6" w:rsidRDefault="00844274" w:rsidP="00F17775">
      <w:pPr>
        <w:spacing w:after="0"/>
        <w:jc w:val="both"/>
        <w:rPr>
          <w:rFonts w:ascii="Arial" w:hAnsi="Arial" w:cs="Arial"/>
        </w:rPr>
      </w:pPr>
      <w:r w:rsidRPr="003E77C6">
        <w:rPr>
          <w:rFonts w:ascii="Arial" w:hAnsi="Arial" w:cs="Arial"/>
        </w:rPr>
        <w:t xml:space="preserve">The Improvement Board membership is being widened to include partners from health so that the core agencies with statutory responsibility for safeguarding are actively engaged in improvement. </w:t>
      </w:r>
    </w:p>
    <w:p w:rsidR="00844274" w:rsidRPr="003E77C6" w:rsidRDefault="00844274" w:rsidP="009121A0">
      <w:pPr>
        <w:spacing w:after="0"/>
        <w:rPr>
          <w:rFonts w:ascii="Arial" w:hAnsi="Arial" w:cs="Arial"/>
        </w:rPr>
      </w:pPr>
    </w:p>
    <w:p w:rsidR="00B413FC" w:rsidRDefault="00B413FC" w:rsidP="009121A0">
      <w:pPr>
        <w:spacing w:after="0"/>
        <w:rPr>
          <w:rFonts w:ascii="Arial" w:hAnsi="Arial" w:cs="Arial"/>
          <w:b/>
        </w:rPr>
      </w:pPr>
      <w:r w:rsidRPr="003E77C6">
        <w:rPr>
          <w:rFonts w:ascii="Arial" w:hAnsi="Arial" w:cs="Arial"/>
          <w:b/>
        </w:rPr>
        <w:t>Operating Model</w:t>
      </w:r>
    </w:p>
    <w:p w:rsidR="00F91107" w:rsidRPr="003E77C6" w:rsidRDefault="00F91107" w:rsidP="009121A0">
      <w:pPr>
        <w:spacing w:after="0"/>
        <w:rPr>
          <w:rFonts w:ascii="Arial" w:hAnsi="Arial" w:cs="Arial"/>
          <w:b/>
        </w:rPr>
      </w:pPr>
    </w:p>
    <w:p w:rsidR="00B413FC" w:rsidRPr="003E77C6" w:rsidRDefault="00B413FC" w:rsidP="009121A0">
      <w:pPr>
        <w:spacing w:after="0"/>
        <w:rPr>
          <w:rFonts w:ascii="Arial" w:hAnsi="Arial" w:cs="Arial"/>
        </w:rPr>
      </w:pPr>
      <w:r w:rsidRPr="003E77C6">
        <w:rPr>
          <w:rFonts w:ascii="Arial" w:hAnsi="Arial" w:cs="Arial"/>
        </w:rPr>
        <w:t>The council have agreed significant investment in children’s social care of £5m. We are using this investment to:</w:t>
      </w:r>
    </w:p>
    <w:p w:rsidR="00B413FC" w:rsidRPr="003E77C6" w:rsidRDefault="00B413FC" w:rsidP="00B413FC">
      <w:pPr>
        <w:pStyle w:val="ListParagraph"/>
        <w:numPr>
          <w:ilvl w:val="0"/>
          <w:numId w:val="6"/>
        </w:numPr>
        <w:spacing w:after="0"/>
        <w:rPr>
          <w:rFonts w:ascii="Arial" w:hAnsi="Arial" w:cs="Arial"/>
        </w:rPr>
      </w:pPr>
      <w:r w:rsidRPr="003E77C6">
        <w:rPr>
          <w:rFonts w:ascii="Arial" w:hAnsi="Arial" w:cs="Arial"/>
        </w:rPr>
        <w:t>Reduce the size of teams so that we can provide better oversight and supervision</w:t>
      </w:r>
    </w:p>
    <w:p w:rsidR="00B413FC" w:rsidRPr="003E77C6" w:rsidRDefault="00B413FC" w:rsidP="00B413FC">
      <w:pPr>
        <w:pStyle w:val="ListParagraph"/>
        <w:numPr>
          <w:ilvl w:val="0"/>
          <w:numId w:val="6"/>
        </w:numPr>
        <w:spacing w:after="0"/>
        <w:rPr>
          <w:rFonts w:ascii="Arial" w:hAnsi="Arial" w:cs="Arial"/>
        </w:rPr>
      </w:pPr>
      <w:r w:rsidRPr="003E77C6">
        <w:rPr>
          <w:rFonts w:ascii="Arial" w:hAnsi="Arial" w:cs="Arial"/>
        </w:rPr>
        <w:t>New career pathway for social workers including Senior Social Worker and Advance Practitioner roles to enable us to attract and retain experienced social workers</w:t>
      </w:r>
    </w:p>
    <w:p w:rsidR="00B413FC" w:rsidRPr="003E77C6" w:rsidRDefault="00B413FC" w:rsidP="00B413FC">
      <w:pPr>
        <w:pStyle w:val="ListParagraph"/>
        <w:numPr>
          <w:ilvl w:val="0"/>
          <w:numId w:val="6"/>
        </w:numPr>
        <w:spacing w:after="0"/>
        <w:rPr>
          <w:rFonts w:ascii="Arial" w:hAnsi="Arial" w:cs="Arial"/>
        </w:rPr>
      </w:pPr>
      <w:r w:rsidRPr="003E77C6">
        <w:rPr>
          <w:rFonts w:ascii="Arial" w:hAnsi="Arial" w:cs="Arial"/>
        </w:rPr>
        <w:t xml:space="preserve">Additional administrators so that social workers can focus on direct work with children </w:t>
      </w:r>
    </w:p>
    <w:p w:rsidR="00844274" w:rsidRPr="003E77C6" w:rsidRDefault="00844274" w:rsidP="00844274">
      <w:pPr>
        <w:spacing w:after="0"/>
        <w:rPr>
          <w:rFonts w:ascii="Arial" w:hAnsi="Arial" w:cs="Arial"/>
        </w:rPr>
      </w:pPr>
      <w:r w:rsidRPr="003E77C6">
        <w:rPr>
          <w:rFonts w:ascii="Arial" w:hAnsi="Arial" w:cs="Arial"/>
        </w:rPr>
        <w:t xml:space="preserve">Partners may experience some disruption during April as teams settle down </w:t>
      </w:r>
    </w:p>
    <w:p w:rsidR="00F17775" w:rsidRPr="00F91107" w:rsidRDefault="00F17775" w:rsidP="00844274">
      <w:pPr>
        <w:spacing w:after="0"/>
        <w:rPr>
          <w:rFonts w:ascii="Arial" w:hAnsi="Arial" w:cs="Arial"/>
          <w:sz w:val="18"/>
          <w:szCs w:val="18"/>
        </w:rPr>
      </w:pPr>
    </w:p>
    <w:p w:rsidR="00F17775" w:rsidRPr="003E77C6" w:rsidRDefault="00F17775" w:rsidP="00844274">
      <w:pPr>
        <w:spacing w:after="0"/>
        <w:rPr>
          <w:rFonts w:ascii="Arial" w:hAnsi="Arial" w:cs="Arial"/>
          <w:b/>
        </w:rPr>
      </w:pPr>
      <w:r w:rsidRPr="003E77C6">
        <w:rPr>
          <w:rFonts w:ascii="Arial" w:hAnsi="Arial" w:cs="Arial"/>
          <w:b/>
        </w:rPr>
        <w:t>Demand</w:t>
      </w:r>
    </w:p>
    <w:p w:rsidR="00844274" w:rsidRPr="00F91107" w:rsidRDefault="00844274" w:rsidP="009121A0">
      <w:pPr>
        <w:spacing w:after="0"/>
        <w:rPr>
          <w:rFonts w:ascii="Arial" w:hAnsi="Arial" w:cs="Arial"/>
          <w:b/>
          <w:sz w:val="18"/>
          <w:szCs w:val="18"/>
        </w:rPr>
      </w:pPr>
    </w:p>
    <w:p w:rsidR="00F4080F" w:rsidRPr="003E77C6" w:rsidRDefault="00F4080F" w:rsidP="009121A0">
      <w:pPr>
        <w:spacing w:after="0"/>
        <w:rPr>
          <w:rFonts w:ascii="Arial" w:hAnsi="Arial" w:cs="Arial"/>
          <w:sz w:val="16"/>
          <w:szCs w:val="16"/>
        </w:rPr>
      </w:pPr>
      <w:r w:rsidRPr="003E77C6">
        <w:rPr>
          <w:rFonts w:ascii="Arial" w:hAnsi="Arial" w:cs="Arial"/>
          <w:noProof/>
          <w:lang w:eastAsia="en-GB"/>
        </w:rPr>
        <w:drawing>
          <wp:inline distT="0" distB="0" distL="0" distR="0" wp14:anchorId="3EFA0C47" wp14:editId="19B5C3E8">
            <wp:extent cx="2447925" cy="146685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3E77C6">
        <w:rPr>
          <w:rFonts w:ascii="Arial" w:hAnsi="Arial" w:cs="Arial"/>
          <w:noProof/>
          <w:lang w:eastAsia="en-GB"/>
        </w:rPr>
        <w:drawing>
          <wp:anchor distT="0" distB="0" distL="114300" distR="114300" simplePos="0" relativeHeight="251658240" behindDoc="0" locked="0" layoutInCell="1" allowOverlap="1" wp14:anchorId="6D295307" wp14:editId="656312C6">
            <wp:simplePos x="0" y="0"/>
            <wp:positionH relativeFrom="column">
              <wp:align>left</wp:align>
            </wp:positionH>
            <wp:positionV relativeFrom="paragraph">
              <wp:align>top</wp:align>
            </wp:positionV>
            <wp:extent cx="2438400" cy="1466850"/>
            <wp:effectExtent l="0" t="0" r="19050" b="1905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3E77C6">
        <w:rPr>
          <w:rFonts w:ascii="Arial" w:hAnsi="Arial" w:cs="Arial"/>
          <w:b/>
        </w:rPr>
        <w:br w:type="textWrapping" w:clear="all"/>
      </w:r>
      <w:r w:rsidRPr="003E77C6">
        <w:rPr>
          <w:rFonts w:ascii="Arial" w:hAnsi="Arial" w:cs="Arial"/>
          <w:sz w:val="16"/>
          <w:szCs w:val="16"/>
        </w:rPr>
        <w:t>Contact figures from December 2017 onwards only                Rate of CIN (per 10,000) Gloucestershire: 175.5 (</w:t>
      </w:r>
      <w:proofErr w:type="spellStart"/>
      <w:r w:rsidRPr="003E77C6">
        <w:rPr>
          <w:rFonts w:ascii="Arial" w:hAnsi="Arial" w:cs="Arial"/>
          <w:sz w:val="16"/>
          <w:szCs w:val="16"/>
        </w:rPr>
        <w:t>excl.CP</w:t>
      </w:r>
      <w:proofErr w:type="spellEnd"/>
      <w:r w:rsidRPr="003E77C6">
        <w:rPr>
          <w:rFonts w:ascii="Arial" w:hAnsi="Arial" w:cs="Arial"/>
          <w:sz w:val="16"/>
          <w:szCs w:val="16"/>
        </w:rPr>
        <w:t>/CIC)</w:t>
      </w:r>
    </w:p>
    <w:p w:rsidR="00844274" w:rsidRPr="003E77C6" w:rsidRDefault="00F4080F" w:rsidP="009121A0">
      <w:pPr>
        <w:spacing w:after="0"/>
        <w:rPr>
          <w:rFonts w:ascii="Arial" w:hAnsi="Arial" w:cs="Arial"/>
          <w:sz w:val="16"/>
          <w:szCs w:val="16"/>
        </w:rPr>
      </w:pPr>
      <w:r w:rsidRPr="003E77C6">
        <w:rPr>
          <w:rFonts w:ascii="Arial" w:hAnsi="Arial" w:cs="Arial"/>
          <w:sz w:val="16"/>
          <w:szCs w:val="16"/>
        </w:rPr>
        <w:t xml:space="preserve"> include those contacts proceeding to Social Care                  Rate of CIN (per 10,000) Good/Outstanding Las (Mar 17): 49.4</w:t>
      </w:r>
    </w:p>
    <w:p w:rsidR="00F4080F" w:rsidRPr="003E77C6" w:rsidRDefault="00F4080F" w:rsidP="009121A0">
      <w:pPr>
        <w:spacing w:after="0"/>
        <w:rPr>
          <w:rFonts w:ascii="Arial" w:hAnsi="Arial" w:cs="Arial"/>
          <w:sz w:val="16"/>
          <w:szCs w:val="16"/>
        </w:rPr>
      </w:pPr>
      <w:r w:rsidRPr="003E77C6">
        <w:rPr>
          <w:rFonts w:ascii="Arial" w:hAnsi="Arial" w:cs="Arial"/>
          <w:b/>
        </w:rPr>
        <w:t xml:space="preserve">                                                                  </w:t>
      </w:r>
      <w:r w:rsidR="003E77C6">
        <w:rPr>
          <w:rFonts w:ascii="Arial" w:hAnsi="Arial" w:cs="Arial"/>
          <w:b/>
        </w:rPr>
        <w:t xml:space="preserve"> </w:t>
      </w:r>
      <w:r w:rsidRPr="003E77C6">
        <w:rPr>
          <w:rFonts w:ascii="Arial" w:hAnsi="Arial" w:cs="Arial"/>
          <w:b/>
        </w:rPr>
        <w:t xml:space="preserve"> </w:t>
      </w:r>
      <w:r w:rsidR="003E77C6">
        <w:rPr>
          <w:rFonts w:ascii="Arial" w:hAnsi="Arial" w:cs="Arial"/>
          <w:b/>
        </w:rPr>
        <w:t xml:space="preserve"> </w:t>
      </w:r>
      <w:r w:rsidRPr="003E77C6">
        <w:rPr>
          <w:rFonts w:ascii="Arial" w:hAnsi="Arial" w:cs="Arial"/>
          <w:b/>
        </w:rPr>
        <w:t xml:space="preserve">  </w:t>
      </w:r>
      <w:r w:rsidRPr="003E77C6">
        <w:rPr>
          <w:rFonts w:ascii="Arial" w:hAnsi="Arial" w:cs="Arial"/>
          <w:sz w:val="16"/>
          <w:szCs w:val="16"/>
        </w:rPr>
        <w:t>Rate of CIN Peer Group (Mar 17): 276.8</w:t>
      </w:r>
    </w:p>
    <w:p w:rsidR="00F4080F" w:rsidRPr="003E77C6" w:rsidRDefault="00F4080F" w:rsidP="009121A0">
      <w:pPr>
        <w:spacing w:after="0"/>
        <w:rPr>
          <w:rFonts w:ascii="Arial" w:hAnsi="Arial" w:cs="Arial"/>
          <w:b/>
        </w:rPr>
      </w:pPr>
      <w:r w:rsidRPr="003E77C6">
        <w:rPr>
          <w:rFonts w:ascii="Arial" w:hAnsi="Arial" w:cs="Arial"/>
          <w:noProof/>
          <w:lang w:eastAsia="en-GB"/>
        </w:rPr>
        <w:drawing>
          <wp:inline distT="0" distB="0" distL="0" distR="0" wp14:anchorId="24D4310A" wp14:editId="7B6A10D0">
            <wp:extent cx="2428875" cy="14573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F17775" w:rsidRPr="003E77C6">
        <w:rPr>
          <w:rFonts w:ascii="Arial" w:hAnsi="Arial" w:cs="Arial"/>
          <w:noProof/>
          <w:lang w:eastAsia="en-GB"/>
        </w:rPr>
        <w:t xml:space="preserve">        </w:t>
      </w:r>
      <w:r w:rsidR="00F17775" w:rsidRPr="003E77C6">
        <w:rPr>
          <w:rFonts w:ascii="Arial" w:hAnsi="Arial" w:cs="Arial"/>
          <w:noProof/>
          <w:lang w:eastAsia="en-GB"/>
        </w:rPr>
        <w:drawing>
          <wp:inline distT="0" distB="0" distL="0" distR="0" wp14:anchorId="2F140701" wp14:editId="2E5D8C8D">
            <wp:extent cx="2447925" cy="1466850"/>
            <wp:effectExtent l="0" t="0" r="9525"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4080F" w:rsidRPr="003E77C6" w:rsidRDefault="00F17775" w:rsidP="009121A0">
      <w:pPr>
        <w:spacing w:after="0"/>
        <w:rPr>
          <w:rFonts w:ascii="Arial" w:hAnsi="Arial" w:cs="Arial"/>
          <w:sz w:val="16"/>
          <w:szCs w:val="16"/>
        </w:rPr>
      </w:pPr>
      <w:r w:rsidRPr="003E77C6">
        <w:rPr>
          <w:rFonts w:ascii="Arial" w:hAnsi="Arial" w:cs="Arial"/>
          <w:sz w:val="16"/>
          <w:szCs w:val="16"/>
        </w:rPr>
        <w:t>Rate of CPP (per 10,000) Gloucestershire: 49.4                           Rate of CIC (per 10,000) Gloucestershire: 50.1</w:t>
      </w:r>
    </w:p>
    <w:p w:rsidR="00F17775" w:rsidRPr="003E77C6" w:rsidRDefault="00F17775" w:rsidP="009121A0">
      <w:pPr>
        <w:spacing w:after="0"/>
        <w:rPr>
          <w:rFonts w:ascii="Arial" w:hAnsi="Arial" w:cs="Arial"/>
          <w:sz w:val="14"/>
          <w:szCs w:val="14"/>
        </w:rPr>
      </w:pPr>
      <w:r w:rsidRPr="003E77C6">
        <w:rPr>
          <w:rFonts w:ascii="Arial" w:hAnsi="Arial" w:cs="Arial"/>
          <w:sz w:val="14"/>
          <w:szCs w:val="14"/>
        </w:rPr>
        <w:t xml:space="preserve">Rate of CPP (per 10,000) Good/Outstanding Las  (Mar 17): 34.7               </w:t>
      </w:r>
      <w:r w:rsidRPr="003E77C6">
        <w:rPr>
          <w:rFonts w:ascii="Arial" w:hAnsi="Arial" w:cs="Arial"/>
          <w:sz w:val="16"/>
          <w:szCs w:val="16"/>
        </w:rPr>
        <w:t>Rate of CIC (per 10,000) Good/Outstanding LAs (Mar 17): 49.4</w:t>
      </w:r>
    </w:p>
    <w:p w:rsidR="00F17775" w:rsidRPr="003E77C6" w:rsidRDefault="00F17775" w:rsidP="009121A0">
      <w:pPr>
        <w:spacing w:after="0"/>
        <w:rPr>
          <w:rFonts w:ascii="Arial" w:hAnsi="Arial" w:cs="Arial"/>
          <w:sz w:val="16"/>
          <w:szCs w:val="16"/>
        </w:rPr>
      </w:pPr>
      <w:r w:rsidRPr="003E77C6">
        <w:rPr>
          <w:rFonts w:ascii="Arial" w:hAnsi="Arial" w:cs="Arial"/>
          <w:sz w:val="16"/>
          <w:szCs w:val="16"/>
        </w:rPr>
        <w:t xml:space="preserve">Rate of CPP Peer Group (Mar 17): 39.4                                       Rate of CIC Peer Group (Mar 17): 48.6 </w:t>
      </w:r>
    </w:p>
    <w:p w:rsidR="00F4080F" w:rsidRPr="003E77C6" w:rsidRDefault="00F4080F" w:rsidP="009121A0">
      <w:pPr>
        <w:spacing w:after="0"/>
        <w:rPr>
          <w:rFonts w:ascii="Arial" w:hAnsi="Arial" w:cs="Arial"/>
          <w:b/>
        </w:rPr>
      </w:pPr>
    </w:p>
    <w:p w:rsidR="00844274" w:rsidRPr="003E77C6" w:rsidRDefault="00844274" w:rsidP="00F17775">
      <w:pPr>
        <w:spacing w:after="0"/>
        <w:jc w:val="both"/>
        <w:rPr>
          <w:rFonts w:ascii="Arial" w:hAnsi="Arial" w:cs="Arial"/>
        </w:rPr>
      </w:pPr>
      <w:r w:rsidRPr="003E77C6">
        <w:rPr>
          <w:rFonts w:ascii="Arial" w:hAnsi="Arial" w:cs="Arial"/>
        </w:rPr>
        <w:t>We continue to see a rise in demand for services and whilst we recognise some of this may be due to legacy issues we need to seek as a partnership to fully understand what is driving this increase.</w:t>
      </w:r>
    </w:p>
    <w:p w:rsidR="00F17775" w:rsidRPr="003E77C6" w:rsidRDefault="00F17775" w:rsidP="00F17775">
      <w:pPr>
        <w:spacing w:after="0"/>
        <w:jc w:val="both"/>
        <w:rPr>
          <w:rFonts w:ascii="Arial" w:hAnsi="Arial" w:cs="Arial"/>
        </w:rPr>
      </w:pPr>
    </w:p>
    <w:p w:rsidR="00844274" w:rsidRDefault="00844274" w:rsidP="00F17775">
      <w:pPr>
        <w:spacing w:after="0"/>
        <w:jc w:val="both"/>
        <w:rPr>
          <w:rFonts w:ascii="Arial" w:hAnsi="Arial" w:cs="Arial"/>
          <w:b/>
        </w:rPr>
      </w:pPr>
      <w:r w:rsidRPr="003E77C6">
        <w:rPr>
          <w:rFonts w:ascii="Arial" w:hAnsi="Arial" w:cs="Arial"/>
          <w:b/>
        </w:rPr>
        <w:t>Front Door</w:t>
      </w:r>
    </w:p>
    <w:p w:rsidR="00F91107" w:rsidRPr="003E77C6" w:rsidRDefault="00F91107" w:rsidP="00F17775">
      <w:pPr>
        <w:spacing w:after="0"/>
        <w:jc w:val="both"/>
        <w:rPr>
          <w:rFonts w:ascii="Arial" w:hAnsi="Arial" w:cs="Arial"/>
          <w:b/>
        </w:rPr>
      </w:pPr>
    </w:p>
    <w:p w:rsidR="00844274" w:rsidRPr="003E77C6" w:rsidRDefault="00844274" w:rsidP="00F17775">
      <w:pPr>
        <w:spacing w:after="0"/>
        <w:jc w:val="both"/>
        <w:rPr>
          <w:rFonts w:ascii="Arial" w:hAnsi="Arial" w:cs="Arial"/>
        </w:rPr>
      </w:pPr>
      <w:r w:rsidRPr="003E77C6">
        <w:rPr>
          <w:rFonts w:ascii="Arial" w:hAnsi="Arial" w:cs="Arial"/>
        </w:rPr>
        <w:t xml:space="preserve">You will see from the data that contacts have </w:t>
      </w:r>
      <w:r w:rsidR="00640048" w:rsidRPr="003E77C6">
        <w:rPr>
          <w:rFonts w:ascii="Arial" w:hAnsi="Arial" w:cs="Arial"/>
        </w:rPr>
        <w:t>reduced;</w:t>
      </w:r>
      <w:r w:rsidRPr="003E77C6">
        <w:rPr>
          <w:rFonts w:ascii="Arial" w:hAnsi="Arial" w:cs="Arial"/>
        </w:rPr>
        <w:t xml:space="preserve"> this is due to the changes that we have made to the front door. We are now diverting all non social care contacts through to early help so that we can see accurately report on the number of social care contacts. The changes at the front door include the new profe</w:t>
      </w:r>
      <w:r w:rsidR="00640048" w:rsidRPr="003E77C6">
        <w:rPr>
          <w:rFonts w:ascii="Arial" w:hAnsi="Arial" w:cs="Arial"/>
        </w:rPr>
        <w:t>ssional advice line, diverting families through to early help and additional staff to manage the volume of enquiries and calls to speed up decision making. We will be moving the MASH to the Front Door and we are working with the police on these changes.</w:t>
      </w:r>
    </w:p>
    <w:p w:rsidR="00640048" w:rsidRPr="003E77C6" w:rsidRDefault="00640048" w:rsidP="00F17775">
      <w:pPr>
        <w:spacing w:after="0"/>
        <w:jc w:val="both"/>
        <w:rPr>
          <w:rFonts w:ascii="Arial" w:hAnsi="Arial" w:cs="Arial"/>
          <w:b/>
        </w:rPr>
      </w:pPr>
    </w:p>
    <w:p w:rsidR="00640048" w:rsidRDefault="00640048" w:rsidP="00F17775">
      <w:pPr>
        <w:spacing w:after="0"/>
        <w:jc w:val="both"/>
        <w:rPr>
          <w:rFonts w:ascii="Arial" w:hAnsi="Arial" w:cs="Arial"/>
          <w:b/>
        </w:rPr>
      </w:pPr>
      <w:r w:rsidRPr="003E77C6">
        <w:rPr>
          <w:rFonts w:ascii="Arial" w:hAnsi="Arial" w:cs="Arial"/>
          <w:b/>
        </w:rPr>
        <w:t>Child Protection</w:t>
      </w:r>
    </w:p>
    <w:p w:rsidR="00F91107" w:rsidRPr="003E77C6" w:rsidRDefault="00F91107" w:rsidP="00F17775">
      <w:pPr>
        <w:spacing w:after="0"/>
        <w:jc w:val="both"/>
        <w:rPr>
          <w:rFonts w:ascii="Arial" w:hAnsi="Arial" w:cs="Arial"/>
          <w:b/>
        </w:rPr>
      </w:pPr>
    </w:p>
    <w:p w:rsidR="00640048" w:rsidRPr="003E77C6" w:rsidRDefault="00640048" w:rsidP="00F17775">
      <w:pPr>
        <w:spacing w:after="0"/>
        <w:jc w:val="both"/>
        <w:rPr>
          <w:rFonts w:ascii="Arial" w:hAnsi="Arial" w:cs="Arial"/>
        </w:rPr>
      </w:pPr>
      <w:r w:rsidRPr="003E77C6">
        <w:rPr>
          <w:rFonts w:ascii="Arial" w:hAnsi="Arial" w:cs="Arial"/>
        </w:rPr>
        <w:t xml:space="preserve">We have seen an unprecedented rise in the number of children subject to a child protection plan. Previous years we have had between 450 and 500 children, we have 680 children on plans. We recognise that this increases the workload of all agencies and we are providing additional resources to manage this increase. </w:t>
      </w:r>
    </w:p>
    <w:p w:rsidR="00640048" w:rsidRPr="003E77C6" w:rsidRDefault="00640048" w:rsidP="00F17775">
      <w:pPr>
        <w:spacing w:after="0"/>
        <w:jc w:val="both"/>
        <w:rPr>
          <w:rFonts w:ascii="Arial" w:hAnsi="Arial" w:cs="Arial"/>
        </w:rPr>
      </w:pPr>
    </w:p>
    <w:p w:rsidR="00640048" w:rsidRDefault="00640048" w:rsidP="009121A0">
      <w:pPr>
        <w:spacing w:after="0"/>
        <w:rPr>
          <w:rFonts w:ascii="Arial" w:hAnsi="Arial" w:cs="Arial"/>
          <w:b/>
        </w:rPr>
      </w:pPr>
      <w:r w:rsidRPr="003E77C6">
        <w:rPr>
          <w:rFonts w:ascii="Arial" w:hAnsi="Arial" w:cs="Arial"/>
          <w:b/>
        </w:rPr>
        <w:t>Youth Offending Service</w:t>
      </w:r>
      <w:r w:rsidR="00226DBB">
        <w:rPr>
          <w:rFonts w:ascii="Arial" w:hAnsi="Arial" w:cs="Arial"/>
          <w:b/>
        </w:rPr>
        <w:t xml:space="preserve"> – Children First</w:t>
      </w:r>
    </w:p>
    <w:p w:rsidR="00F91107" w:rsidRPr="003E77C6" w:rsidRDefault="00F91107" w:rsidP="009121A0">
      <w:pPr>
        <w:spacing w:after="0"/>
        <w:rPr>
          <w:rFonts w:ascii="Arial" w:hAnsi="Arial" w:cs="Arial"/>
          <w:b/>
        </w:rPr>
      </w:pPr>
    </w:p>
    <w:p w:rsidR="00226DBB" w:rsidRPr="00226DBB" w:rsidRDefault="00226DBB" w:rsidP="00226DBB">
      <w:pPr>
        <w:autoSpaceDE w:val="0"/>
        <w:autoSpaceDN w:val="0"/>
        <w:rPr>
          <w:rFonts w:ascii="Arial" w:hAnsi="Arial" w:cs="Arial"/>
        </w:rPr>
      </w:pPr>
      <w:r>
        <w:rPr>
          <w:rFonts w:ascii="Arial" w:hAnsi="Arial" w:cs="Arial"/>
        </w:rPr>
        <w:t xml:space="preserve">In January we launched Children First with the Gloucestershire Constabulary to enable us to review information we know about children before a decision is made to initiate youth cautions or criminal charges, previously this decision will have been made purely by the police. We know that child offenders are often </w:t>
      </w:r>
      <w:r w:rsidR="003A317D">
        <w:rPr>
          <w:rFonts w:ascii="Arial" w:hAnsi="Arial" w:cs="Arial"/>
        </w:rPr>
        <w:t xml:space="preserve">vulnerable and are often known to children’s social care. </w:t>
      </w:r>
      <w:r>
        <w:rPr>
          <w:rFonts w:ascii="Arial" w:hAnsi="Arial" w:cs="Arial"/>
        </w:rPr>
        <w:t xml:space="preserve">We now have a </w:t>
      </w:r>
      <w:r w:rsidRPr="00226DBB">
        <w:rPr>
          <w:rFonts w:ascii="Arial" w:hAnsi="Arial" w:cs="Arial"/>
        </w:rPr>
        <w:t>Joint Decision-making Panel (JDP) consisting of police sergeants, Youth Support Team managers and an NHS Mental Health colleague. The JDP access information from across th</w:t>
      </w:r>
      <w:r w:rsidR="003A317D">
        <w:rPr>
          <w:rFonts w:ascii="Arial" w:hAnsi="Arial" w:cs="Arial"/>
        </w:rPr>
        <w:t>e partnership</w:t>
      </w:r>
      <w:r w:rsidRPr="00226DBB">
        <w:rPr>
          <w:rFonts w:ascii="Arial" w:hAnsi="Arial" w:cs="Arial"/>
        </w:rPr>
        <w:t xml:space="preserve"> with the aim of disposing of most cases through a Youth Restorative Intervention (YRI) although the JDP are also able to recommend Youth Cautions and/or charging where appropriate. </w:t>
      </w:r>
      <w:r w:rsidRPr="00226DBB">
        <w:rPr>
          <w:rFonts w:ascii="Arial" w:hAnsi="Arial" w:cs="Arial"/>
          <w:b/>
          <w:bCs/>
        </w:rPr>
        <w:t>The Y</w:t>
      </w:r>
      <w:r>
        <w:rPr>
          <w:rFonts w:ascii="Arial" w:hAnsi="Arial" w:cs="Arial"/>
          <w:b/>
          <w:bCs/>
        </w:rPr>
        <w:t xml:space="preserve">outh Restorative Intervention </w:t>
      </w:r>
      <w:r w:rsidRPr="00226DBB">
        <w:rPr>
          <w:rFonts w:ascii="Arial" w:hAnsi="Arial" w:cs="Arial"/>
          <w:b/>
          <w:bCs/>
        </w:rPr>
        <w:t>does not attract a criminal record</w:t>
      </w:r>
      <w:r w:rsidRPr="00226DBB">
        <w:rPr>
          <w:rFonts w:ascii="Arial" w:hAnsi="Arial" w:cs="Arial"/>
        </w:rPr>
        <w:t>.</w:t>
      </w:r>
    </w:p>
    <w:p w:rsidR="00226DBB" w:rsidRDefault="003A317D" w:rsidP="009F2DA7">
      <w:pPr>
        <w:spacing w:after="0"/>
        <w:rPr>
          <w:rFonts w:ascii="Arial" w:hAnsi="Arial" w:cs="Arial"/>
          <w:color w:val="000000"/>
          <w:lang w:val="en-US"/>
        </w:rPr>
      </w:pPr>
      <w:r>
        <w:rPr>
          <w:rFonts w:ascii="Arial" w:hAnsi="Arial" w:cs="Arial"/>
          <w:color w:val="000000"/>
          <w:lang w:val="en-US"/>
        </w:rPr>
        <w:t xml:space="preserve">So far the Joint Decision Panel has reviewed </w:t>
      </w:r>
      <w:r w:rsidR="00226DBB" w:rsidRPr="00226DBB">
        <w:rPr>
          <w:rFonts w:ascii="Arial" w:hAnsi="Arial" w:cs="Arial"/>
          <w:color w:val="000000"/>
          <w:lang w:val="en-US"/>
        </w:rPr>
        <w:t>65 young people</w:t>
      </w:r>
      <w:r>
        <w:rPr>
          <w:rFonts w:ascii="Arial" w:hAnsi="Arial" w:cs="Arial"/>
          <w:color w:val="000000"/>
          <w:lang w:val="en-US"/>
        </w:rPr>
        <w:t>.</w:t>
      </w:r>
      <w:r w:rsidR="00226DBB" w:rsidRPr="00226DBB">
        <w:rPr>
          <w:rFonts w:ascii="Arial" w:hAnsi="Arial" w:cs="Arial"/>
          <w:color w:val="000000"/>
          <w:lang w:val="en-US"/>
        </w:rPr>
        <w:t xml:space="preserve"> All resulted in Youth Restorative Interventions (YRI’s)</w:t>
      </w:r>
      <w:r>
        <w:rPr>
          <w:rFonts w:ascii="Arial" w:hAnsi="Arial" w:cs="Arial"/>
          <w:color w:val="000000"/>
          <w:lang w:val="en-US"/>
        </w:rPr>
        <w:t xml:space="preserve"> with only one being latterly referred to the court as they refused to participate in the YRI process. </w:t>
      </w:r>
      <w:r w:rsidR="00226DBB" w:rsidRPr="00226DBB">
        <w:rPr>
          <w:rFonts w:ascii="Arial" w:hAnsi="Arial" w:cs="Arial"/>
          <w:color w:val="000000"/>
          <w:lang w:val="en-US"/>
        </w:rPr>
        <w:t>Of these, 45 were allocated to</w:t>
      </w:r>
      <w:r>
        <w:rPr>
          <w:rFonts w:ascii="Arial" w:hAnsi="Arial" w:cs="Arial"/>
          <w:color w:val="000000"/>
          <w:lang w:val="en-US"/>
        </w:rPr>
        <w:t xml:space="preserve"> the Youth Support Team</w:t>
      </w:r>
      <w:r w:rsidR="00226DBB" w:rsidRPr="00226DBB">
        <w:rPr>
          <w:rFonts w:ascii="Arial" w:hAnsi="Arial" w:cs="Arial"/>
          <w:color w:val="000000"/>
          <w:lang w:val="en-US"/>
        </w:rPr>
        <w:t>, 9 Restorative Gloucestershire and 6 Great Expectations.</w:t>
      </w:r>
      <w:r w:rsidRPr="003A317D">
        <w:rPr>
          <w:rFonts w:ascii="Arial" w:hAnsi="Arial" w:cs="Arial"/>
          <w:color w:val="000000"/>
          <w:lang w:val="en-US"/>
        </w:rPr>
        <w:t xml:space="preserve"> </w:t>
      </w:r>
      <w:r>
        <w:rPr>
          <w:rFonts w:ascii="Arial" w:hAnsi="Arial" w:cs="Arial"/>
          <w:color w:val="000000"/>
          <w:lang w:val="en-US"/>
        </w:rPr>
        <w:t>A high number of these children have poor school attendance, or have been excluded and the Youth Support Team are working with the Education Inclusion Service to address these concerns.</w:t>
      </w:r>
      <w:r w:rsidR="009F2DA7">
        <w:rPr>
          <w:rFonts w:ascii="Arial" w:hAnsi="Arial" w:cs="Arial"/>
          <w:color w:val="000000"/>
          <w:lang w:val="en-US"/>
        </w:rPr>
        <w:t xml:space="preserve">  </w:t>
      </w:r>
      <w:r>
        <w:rPr>
          <w:rFonts w:ascii="Arial" w:hAnsi="Arial" w:cs="Arial"/>
          <w:color w:val="000000"/>
          <w:lang w:val="en-US"/>
        </w:rPr>
        <w:t xml:space="preserve">It is too early to review the impact of these changes on future offending behavior but the early signs are promising. </w:t>
      </w:r>
      <w:r w:rsidR="00226DBB" w:rsidRPr="00226DBB">
        <w:rPr>
          <w:rFonts w:ascii="Arial" w:hAnsi="Arial" w:cs="Arial"/>
          <w:color w:val="000000"/>
          <w:lang w:val="en-US"/>
        </w:rPr>
        <w:t> </w:t>
      </w:r>
    </w:p>
    <w:p w:rsidR="009F2DA7" w:rsidRPr="00226DBB" w:rsidRDefault="009F2DA7" w:rsidP="009F2DA7">
      <w:pPr>
        <w:spacing w:after="0"/>
        <w:rPr>
          <w:rFonts w:ascii="Arial" w:hAnsi="Arial" w:cs="Arial"/>
          <w:color w:val="000000"/>
        </w:rPr>
      </w:pPr>
    </w:p>
    <w:p w:rsidR="00844274" w:rsidRDefault="00640048" w:rsidP="009F2DA7">
      <w:pPr>
        <w:spacing w:after="0"/>
        <w:rPr>
          <w:rFonts w:ascii="Arial" w:hAnsi="Arial" w:cs="Arial"/>
          <w:b/>
        </w:rPr>
      </w:pPr>
      <w:r w:rsidRPr="003E77C6">
        <w:rPr>
          <w:rFonts w:ascii="Arial" w:hAnsi="Arial" w:cs="Arial"/>
          <w:b/>
        </w:rPr>
        <w:t xml:space="preserve">Exclusions Working Group </w:t>
      </w:r>
    </w:p>
    <w:p w:rsidR="00F91107" w:rsidRPr="003E77C6" w:rsidRDefault="00F91107" w:rsidP="009121A0">
      <w:pPr>
        <w:spacing w:after="0"/>
        <w:rPr>
          <w:rFonts w:ascii="Arial" w:hAnsi="Arial" w:cs="Arial"/>
          <w:b/>
        </w:rPr>
      </w:pPr>
    </w:p>
    <w:p w:rsidR="00F91107" w:rsidRPr="00F91107" w:rsidRDefault="00F91107" w:rsidP="00F91107">
      <w:pPr>
        <w:spacing w:after="0"/>
        <w:rPr>
          <w:rFonts w:ascii="Arial" w:hAnsi="Arial" w:cs="Arial"/>
        </w:rPr>
      </w:pPr>
      <w:r w:rsidRPr="00F91107">
        <w:rPr>
          <w:rFonts w:ascii="Arial" w:hAnsi="Arial" w:cs="Arial"/>
        </w:rPr>
        <w:t>Permanent exclusions from school continue to be a major concern.  There were 141 exclusions in the 2016/17 academic year, the highest in the south west and in our comparator group.  Numbers have continued to increase in 2017/18, particularly in the primary sector (22 in comparison with 14 in same period in 2016/17).  Proposals are being developed with schools to introduce a locality-based support model with the aim of nil permanent exclusions in primary.  The Restorative Practice pilots in Tewkesbury and Moat have been highly effective in reducing exclusions, both permanent and fixed term.  A related concern is the number of children educated at home – currently just under 700.  240 children have been de-registered from schools in the current academic year including 40 in Year 11.</w:t>
      </w:r>
    </w:p>
    <w:p w:rsidR="00640048" w:rsidRPr="003E77C6" w:rsidRDefault="00640048" w:rsidP="009121A0">
      <w:pPr>
        <w:spacing w:after="0"/>
        <w:rPr>
          <w:rFonts w:ascii="Arial" w:hAnsi="Arial" w:cs="Arial"/>
          <w:b/>
        </w:rPr>
      </w:pPr>
    </w:p>
    <w:sectPr w:rsidR="00640048" w:rsidRPr="003E77C6" w:rsidSect="00F17775">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06D5"/>
    <w:multiLevelType w:val="hybridMultilevel"/>
    <w:tmpl w:val="9856C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F0666DA"/>
    <w:multiLevelType w:val="hybridMultilevel"/>
    <w:tmpl w:val="F1D8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5DD1E87"/>
    <w:multiLevelType w:val="hybridMultilevel"/>
    <w:tmpl w:val="9F38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0B11332"/>
    <w:multiLevelType w:val="hybridMultilevel"/>
    <w:tmpl w:val="3A98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14E192F"/>
    <w:multiLevelType w:val="hybridMultilevel"/>
    <w:tmpl w:val="AA7AA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76776DB"/>
    <w:multiLevelType w:val="hybridMultilevel"/>
    <w:tmpl w:val="0F708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1A0"/>
    <w:rsid w:val="000248DB"/>
    <w:rsid w:val="000C309B"/>
    <w:rsid w:val="00226DBB"/>
    <w:rsid w:val="002A2A93"/>
    <w:rsid w:val="002F6157"/>
    <w:rsid w:val="003A317D"/>
    <w:rsid w:val="003E77C6"/>
    <w:rsid w:val="00541E40"/>
    <w:rsid w:val="00576B83"/>
    <w:rsid w:val="00640048"/>
    <w:rsid w:val="00834860"/>
    <w:rsid w:val="00844274"/>
    <w:rsid w:val="009121A0"/>
    <w:rsid w:val="009F2DA7"/>
    <w:rsid w:val="00A23FCF"/>
    <w:rsid w:val="00A45998"/>
    <w:rsid w:val="00B413FC"/>
    <w:rsid w:val="00B95FA4"/>
    <w:rsid w:val="00E46D4B"/>
    <w:rsid w:val="00F17775"/>
    <w:rsid w:val="00F4080F"/>
    <w:rsid w:val="00F461CF"/>
    <w:rsid w:val="00F91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1A0"/>
    <w:rPr>
      <w:color w:val="0000FF" w:themeColor="hyperlink"/>
      <w:u w:val="single"/>
    </w:rPr>
  </w:style>
  <w:style w:type="paragraph" w:styleId="ListParagraph">
    <w:name w:val="List Paragraph"/>
    <w:basedOn w:val="Normal"/>
    <w:uiPriority w:val="34"/>
    <w:qFormat/>
    <w:rsid w:val="00F461CF"/>
    <w:pPr>
      <w:ind w:left="720"/>
      <w:contextualSpacing/>
    </w:pPr>
  </w:style>
  <w:style w:type="paragraph" w:styleId="BalloonText">
    <w:name w:val="Balloon Text"/>
    <w:basedOn w:val="Normal"/>
    <w:link w:val="BalloonTextChar"/>
    <w:uiPriority w:val="99"/>
    <w:semiHidden/>
    <w:unhideWhenUsed/>
    <w:rsid w:val="00F40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8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1A0"/>
    <w:rPr>
      <w:color w:val="0000FF" w:themeColor="hyperlink"/>
      <w:u w:val="single"/>
    </w:rPr>
  </w:style>
  <w:style w:type="paragraph" w:styleId="ListParagraph">
    <w:name w:val="List Paragraph"/>
    <w:basedOn w:val="Normal"/>
    <w:uiPriority w:val="34"/>
    <w:qFormat/>
    <w:rsid w:val="00F461CF"/>
    <w:pPr>
      <w:ind w:left="720"/>
      <w:contextualSpacing/>
    </w:pPr>
  </w:style>
  <w:style w:type="paragraph" w:styleId="BalloonText">
    <w:name w:val="Balloon Text"/>
    <w:basedOn w:val="Normal"/>
    <w:link w:val="BalloonTextChar"/>
    <w:uiPriority w:val="99"/>
    <w:semiHidden/>
    <w:unhideWhenUsed/>
    <w:rsid w:val="00F40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8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7689">
      <w:bodyDiv w:val="1"/>
      <w:marLeft w:val="0"/>
      <w:marRight w:val="0"/>
      <w:marTop w:val="0"/>
      <w:marBottom w:val="0"/>
      <w:divBdr>
        <w:top w:val="none" w:sz="0" w:space="0" w:color="auto"/>
        <w:left w:val="none" w:sz="0" w:space="0" w:color="auto"/>
        <w:bottom w:val="none" w:sz="0" w:space="0" w:color="auto"/>
        <w:right w:val="none" w:sz="0" w:space="0" w:color="auto"/>
      </w:divBdr>
    </w:div>
    <w:div w:id="120073791">
      <w:bodyDiv w:val="1"/>
      <w:marLeft w:val="0"/>
      <w:marRight w:val="0"/>
      <w:marTop w:val="0"/>
      <w:marBottom w:val="0"/>
      <w:divBdr>
        <w:top w:val="none" w:sz="0" w:space="0" w:color="auto"/>
        <w:left w:val="none" w:sz="0" w:space="0" w:color="auto"/>
        <w:bottom w:val="none" w:sz="0" w:space="0" w:color="auto"/>
        <w:right w:val="none" w:sz="0" w:space="0" w:color="auto"/>
      </w:divBdr>
    </w:div>
    <w:div w:id="150308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ports.ofsted.gov.uk/local-authorities/gloucestershir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jpollard\AppData\Local\Microsoft\Windows\Temporary%20Internet%20Files\Content.Outlook\060T6AYP\CSIB%20Dashboard%20February%202018.xls"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1" i="0" u="none" strike="noStrike" baseline="0">
                <a:solidFill>
                  <a:srgbClr val="000000"/>
                </a:solidFill>
                <a:latin typeface="Calibri"/>
                <a:ea typeface="Calibri"/>
                <a:cs typeface="Calibri"/>
              </a:defRPr>
            </a:pPr>
            <a:r>
              <a:rPr lang="en-GB"/>
              <a:t>Children in Need</a:t>
            </a:r>
          </a:p>
        </c:rich>
      </c:tx>
      <c:overlay val="0"/>
    </c:title>
    <c:autoTitleDeleted val="0"/>
    <c:plotArea>
      <c:layout/>
      <c:barChart>
        <c:barDir val="col"/>
        <c:grouping val="clustered"/>
        <c:varyColors val="0"/>
        <c:ser>
          <c:idx val="0"/>
          <c:order val="0"/>
          <c:tx>
            <c:strRef>
              <c:f>'CSIB Data '!$B$3</c:f>
              <c:strCache>
                <c:ptCount val="1"/>
                <c:pt idx="0">
                  <c:v>Children in Need</c:v>
                </c:pt>
              </c:strCache>
            </c:strRef>
          </c:tx>
          <c:spPr>
            <a:solidFill>
              <a:srgbClr val="1F497D">
                <a:lumMod val="20000"/>
                <a:lumOff val="80000"/>
              </a:srgbClr>
            </a:solidFill>
          </c:spPr>
          <c:invertIfNegative val="0"/>
          <c:dLbls>
            <c:dLbl>
              <c:idx val="0"/>
              <c:layout>
                <c:manualLayout>
                  <c:x val="0"/>
                  <c:y val="-5.2287581699346407E-2"/>
                </c:manualLayout>
              </c:layout>
              <c:dLblPos val="outEnd"/>
              <c:showLegendKey val="0"/>
              <c:showVal val="1"/>
              <c:showCatName val="0"/>
              <c:showSerName val="0"/>
              <c:showPercent val="0"/>
              <c:showBubbleSize val="0"/>
            </c:dLbl>
            <c:dLbl>
              <c:idx val="1"/>
              <c:layout>
                <c:manualLayout>
                  <c:x val="0"/>
                  <c:y val="-2.6143790849673203E-2"/>
                </c:manualLayout>
              </c:layout>
              <c:dLblPos val="outEnd"/>
              <c:showLegendKey val="0"/>
              <c:showVal val="1"/>
              <c:showCatName val="0"/>
              <c:showSerName val="0"/>
              <c:showPercent val="0"/>
              <c:showBubbleSize val="0"/>
            </c:dLbl>
            <c:dLbl>
              <c:idx val="2"/>
              <c:layout>
                <c:manualLayout>
                  <c:x val="0"/>
                  <c:y val="2.6143790849673162E-2"/>
                </c:manualLayout>
              </c:layout>
              <c:dLblPos val="outEnd"/>
              <c:showLegendKey val="0"/>
              <c:showVal val="1"/>
              <c:showCatName val="0"/>
              <c:showSerName val="0"/>
              <c:showPercent val="0"/>
              <c:showBubbleSize val="0"/>
            </c:dLbl>
            <c:dLbl>
              <c:idx val="3"/>
              <c:layout>
                <c:manualLayout>
                  <c:x val="0"/>
                  <c:y val="3.4858387799564274E-2"/>
                </c:manualLayout>
              </c:layout>
              <c:dLblPos val="outEnd"/>
              <c:showLegendKey val="0"/>
              <c:showVal val="1"/>
              <c:showCatName val="0"/>
              <c:showSerName val="0"/>
              <c:showPercent val="0"/>
              <c:showBubbleSize val="0"/>
            </c:dLbl>
            <c:dLbl>
              <c:idx val="5"/>
              <c:layout>
                <c:manualLayout>
                  <c:x val="0"/>
                  <c:y val="-2.6666666666666668E-2"/>
                </c:manualLayout>
              </c:layout>
              <c:dLblPos val="outEnd"/>
              <c:showLegendKey val="0"/>
              <c:showVal val="1"/>
              <c:showCatName val="0"/>
              <c:showSerName val="0"/>
              <c:showPercent val="0"/>
              <c:showBubbleSize val="0"/>
            </c:dLbl>
            <c:dLbl>
              <c:idx val="6"/>
              <c:layout>
                <c:manualLayout>
                  <c:x val="0"/>
                  <c:y val="-8.7145969498910684E-3"/>
                </c:manualLayout>
              </c:layout>
              <c:dLblPos val="outEnd"/>
              <c:showLegendKey val="0"/>
              <c:showVal val="1"/>
              <c:showCatName val="0"/>
              <c:showSerName val="0"/>
              <c:showPercent val="0"/>
              <c:showBubbleSize val="0"/>
            </c:dLbl>
            <c:dLbl>
              <c:idx val="7"/>
              <c:layout>
                <c:manualLayout>
                  <c:x val="-1.0376134889753566E-2"/>
                  <c:y val="2.6143790849673203E-2"/>
                </c:manualLayout>
              </c:layout>
              <c:dLblPos val="outEnd"/>
              <c:showLegendKey val="0"/>
              <c:showVal val="1"/>
              <c:showCatName val="0"/>
              <c:showSerName val="0"/>
              <c:showPercent val="0"/>
              <c:showBubbleSize val="0"/>
            </c:dLbl>
            <c:dLbl>
              <c:idx val="9"/>
              <c:layout>
                <c:manualLayout>
                  <c:x val="5.1880674448767832E-3"/>
                  <c:y val="-4.3290043290043288E-2"/>
                </c:manualLayout>
              </c:layout>
              <c:dLblPos val="outEnd"/>
              <c:showLegendKey val="0"/>
              <c:showVal val="1"/>
              <c:showCatName val="0"/>
              <c:showSerName val="0"/>
              <c:showPercent val="0"/>
              <c:showBubbleSize val="0"/>
            </c:dLbl>
            <c:txPr>
              <a:bodyPr/>
              <a:lstStyle/>
              <a:p>
                <a:pPr>
                  <a:defRPr sz="650" b="0"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showLeaderLines val="0"/>
          </c:dLbls>
          <c:trendline>
            <c:spPr>
              <a:ln w="15875">
                <a:prstDash val="dash"/>
                <a:tailEnd type="triangle" w="med" len="med"/>
              </a:ln>
            </c:spPr>
            <c:trendlineType val="linear"/>
            <c:dispRSqr val="0"/>
            <c:dispEq val="0"/>
          </c:trendline>
          <c:cat>
            <c:strRef>
              <c:f>'CSIB Data '!$E$1:$P$1</c:f>
              <c:strCache>
                <c:ptCount val="12"/>
                <c:pt idx="0">
                  <c:v>Mar-17</c:v>
                </c:pt>
                <c:pt idx="1">
                  <c:v>Jun-17</c:v>
                </c:pt>
                <c:pt idx="2">
                  <c:v>Jul-17</c:v>
                </c:pt>
                <c:pt idx="3">
                  <c:v>Aug-17</c:v>
                </c:pt>
                <c:pt idx="4">
                  <c:v>Sep-17</c:v>
                </c:pt>
                <c:pt idx="5">
                  <c:v>Oct-17</c:v>
                </c:pt>
                <c:pt idx="6">
                  <c:v>Nov-17</c:v>
                </c:pt>
                <c:pt idx="7">
                  <c:v>Dec-17</c:v>
                </c:pt>
                <c:pt idx="8">
                  <c:v>Jan-18</c:v>
                </c:pt>
                <c:pt idx="9">
                  <c:v>Feb-18</c:v>
                </c:pt>
                <c:pt idx="10">
                  <c:v>Mar-18</c:v>
                </c:pt>
                <c:pt idx="11">
                  <c:v>Apr-18</c:v>
                </c:pt>
              </c:strCache>
            </c:strRef>
          </c:cat>
          <c:val>
            <c:numRef>
              <c:f>'CSIB Data '!$E$3:$P$3</c:f>
              <c:numCache>
                <c:formatCode>General</c:formatCode>
                <c:ptCount val="12"/>
                <c:pt idx="0">
                  <c:v>2462</c:v>
                </c:pt>
                <c:pt idx="1">
                  <c:v>2332</c:v>
                </c:pt>
                <c:pt idx="2">
                  <c:v>2347</c:v>
                </c:pt>
                <c:pt idx="3">
                  <c:v>2232</c:v>
                </c:pt>
                <c:pt idx="4">
                  <c:v>2289</c:v>
                </c:pt>
                <c:pt idx="5">
                  <c:v>2316</c:v>
                </c:pt>
                <c:pt idx="6">
                  <c:v>2178</c:v>
                </c:pt>
                <c:pt idx="7">
                  <c:v>2110</c:v>
                </c:pt>
                <c:pt idx="8">
                  <c:v>2190</c:v>
                </c:pt>
                <c:pt idx="9">
                  <c:v>2192</c:v>
                </c:pt>
              </c:numCache>
            </c:numRef>
          </c:val>
        </c:ser>
        <c:dLbls>
          <c:showLegendKey val="0"/>
          <c:showVal val="0"/>
          <c:showCatName val="0"/>
          <c:showSerName val="0"/>
          <c:showPercent val="0"/>
          <c:showBubbleSize val="0"/>
        </c:dLbls>
        <c:gapWidth val="150"/>
        <c:axId val="117766784"/>
        <c:axId val="118930816"/>
      </c:barChart>
      <c:catAx>
        <c:axId val="117766784"/>
        <c:scaling>
          <c:orientation val="minMax"/>
        </c:scaling>
        <c:delete val="0"/>
        <c:axPos val="b"/>
        <c:numFmt formatCode="mmm\-yy" sourceLinked="1"/>
        <c:majorTickMark val="out"/>
        <c:minorTickMark val="none"/>
        <c:tickLblPos val="nextTo"/>
        <c:txPr>
          <a:bodyPr rot="-5400000" vert="horz"/>
          <a:lstStyle/>
          <a:p>
            <a:pPr>
              <a:defRPr sz="700" b="0" i="0" u="none" strike="noStrike" baseline="0">
                <a:solidFill>
                  <a:srgbClr val="000000"/>
                </a:solidFill>
                <a:latin typeface="Calibri"/>
                <a:ea typeface="Calibri"/>
                <a:cs typeface="Calibri"/>
              </a:defRPr>
            </a:pPr>
            <a:endParaRPr lang="en-US"/>
          </a:p>
        </c:txPr>
        <c:crossAx val="118930816"/>
        <c:crosses val="autoZero"/>
        <c:auto val="1"/>
        <c:lblAlgn val="ctr"/>
        <c:lblOffset val="100"/>
        <c:noMultiLvlLbl val="0"/>
      </c:catAx>
      <c:valAx>
        <c:axId val="118930816"/>
        <c:scaling>
          <c:orientation val="minMax"/>
          <c:min val="0"/>
        </c:scaling>
        <c:delete val="0"/>
        <c:axPos val="l"/>
        <c:numFmt formatCode="General" sourceLinked="1"/>
        <c:majorTickMark val="out"/>
        <c:minorTickMark val="none"/>
        <c:tickLblPos val="nextTo"/>
        <c:txPr>
          <a:bodyPr rot="0" vert="horz"/>
          <a:lstStyle/>
          <a:p>
            <a:pPr>
              <a:defRPr sz="700" b="0" i="0" u="none" strike="noStrike" baseline="0">
                <a:solidFill>
                  <a:srgbClr val="000000"/>
                </a:solidFill>
                <a:latin typeface="Calibri"/>
                <a:ea typeface="Calibri"/>
                <a:cs typeface="Calibri"/>
              </a:defRPr>
            </a:pPr>
            <a:endParaRPr lang="en-US"/>
          </a:p>
        </c:txPr>
        <c:crossAx val="117766784"/>
        <c:crosses val="autoZero"/>
        <c:crossBetween val="between"/>
        <c:majorUnit val="500"/>
      </c:valAx>
    </c:plotArea>
    <c:plotVisOnly val="1"/>
    <c:dispBlanksAs val="gap"/>
    <c:showDLblsOverMax val="0"/>
  </c:chart>
  <c:txPr>
    <a:bodyPr/>
    <a:lstStyle/>
    <a:p>
      <a:pPr>
        <a:defRPr sz="7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1" i="0" u="none" strike="noStrike" baseline="0">
                <a:solidFill>
                  <a:srgbClr val="000000"/>
                </a:solidFill>
                <a:latin typeface="Calibri"/>
                <a:ea typeface="Calibri"/>
                <a:cs typeface="Calibri"/>
              </a:defRPr>
            </a:pPr>
            <a:r>
              <a:rPr lang="en-GB"/>
              <a:t>Contacts</a:t>
            </a:r>
          </a:p>
        </c:rich>
      </c:tx>
      <c:overlay val="0"/>
    </c:title>
    <c:autoTitleDeleted val="0"/>
    <c:plotArea>
      <c:layout/>
      <c:barChart>
        <c:barDir val="col"/>
        <c:grouping val="clustered"/>
        <c:varyColors val="0"/>
        <c:ser>
          <c:idx val="0"/>
          <c:order val="0"/>
          <c:tx>
            <c:strRef>
              <c:f>'CSIB Data '!$B$2</c:f>
              <c:strCache>
                <c:ptCount val="1"/>
                <c:pt idx="0">
                  <c:v>Contacts</c:v>
                </c:pt>
              </c:strCache>
            </c:strRef>
          </c:tx>
          <c:spPr>
            <a:solidFill>
              <a:srgbClr val="1F497D">
                <a:lumMod val="20000"/>
                <a:lumOff val="80000"/>
              </a:srgbClr>
            </a:solidFill>
          </c:spPr>
          <c:invertIfNegative val="0"/>
          <c:dLbls>
            <c:dLbl>
              <c:idx val="0"/>
              <c:layout>
                <c:manualLayout>
                  <c:x val="0"/>
                  <c:y val="-1.7429193899782137E-2"/>
                </c:manualLayout>
              </c:layout>
              <c:dLblPos val="outEnd"/>
              <c:showLegendKey val="0"/>
              <c:showVal val="1"/>
              <c:showCatName val="0"/>
              <c:showSerName val="0"/>
              <c:showPercent val="0"/>
              <c:showBubbleSize val="0"/>
            </c:dLbl>
            <c:dLbl>
              <c:idx val="2"/>
              <c:layout>
                <c:manualLayout>
                  <c:x val="0"/>
                  <c:y val="-8.7145969498910684E-3"/>
                </c:manualLayout>
              </c:layout>
              <c:dLblPos val="outEnd"/>
              <c:showLegendKey val="0"/>
              <c:showVal val="1"/>
              <c:showCatName val="0"/>
              <c:showSerName val="0"/>
              <c:showPercent val="0"/>
              <c:showBubbleSize val="0"/>
            </c:dLbl>
            <c:dLbl>
              <c:idx val="5"/>
              <c:layout>
                <c:manualLayout>
                  <c:x val="0"/>
                  <c:y val="3.5555555555555556E-2"/>
                </c:manualLayout>
              </c:layout>
              <c:dLblPos val="outEnd"/>
              <c:showLegendKey val="0"/>
              <c:showVal val="1"/>
              <c:showCatName val="0"/>
              <c:showSerName val="0"/>
              <c:showPercent val="0"/>
              <c:showBubbleSize val="0"/>
            </c:dLbl>
            <c:dLbl>
              <c:idx val="6"/>
              <c:layout>
                <c:manualLayout>
                  <c:x val="0"/>
                  <c:y val="4.3290043290043288E-2"/>
                </c:manualLayout>
              </c:layout>
              <c:dLblPos val="outEnd"/>
              <c:showLegendKey val="0"/>
              <c:showVal val="1"/>
              <c:showCatName val="0"/>
              <c:showSerName val="0"/>
              <c:showPercent val="0"/>
              <c:showBubbleSize val="0"/>
            </c:dLbl>
            <c:dLbl>
              <c:idx val="7"/>
              <c:layout>
                <c:manualLayout>
                  <c:x val="0"/>
                  <c:y val="-1.7758462010430513E-2"/>
                </c:manualLayout>
              </c:layout>
              <c:dLblPos val="outEnd"/>
              <c:showLegendKey val="0"/>
              <c:showVal val="1"/>
              <c:showCatName val="0"/>
              <c:showSerName val="0"/>
              <c:showPercent val="0"/>
              <c:showBubbleSize val="0"/>
            </c:dLbl>
            <c:dLbl>
              <c:idx val="8"/>
              <c:layout>
                <c:manualLayout>
                  <c:x val="0"/>
                  <c:y val="-2.5974025974025976E-2"/>
                </c:manualLayout>
              </c:layout>
              <c:dLblPos val="outEnd"/>
              <c:showLegendKey val="0"/>
              <c:showVal val="1"/>
              <c:showCatName val="0"/>
              <c:showSerName val="0"/>
              <c:showPercent val="0"/>
              <c:showBubbleSize val="0"/>
            </c:dLbl>
            <c:txPr>
              <a:bodyPr/>
              <a:lstStyle/>
              <a:p>
                <a:pPr>
                  <a:defRPr sz="700" b="0"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showLeaderLines val="0"/>
          </c:dLbls>
          <c:trendline>
            <c:spPr>
              <a:ln w="15875">
                <a:prstDash val="dash"/>
                <a:tailEnd type="triangle" w="med" len="med"/>
              </a:ln>
            </c:spPr>
            <c:trendlineType val="linear"/>
            <c:dispRSqr val="0"/>
            <c:dispEq val="0"/>
          </c:trendline>
          <c:cat>
            <c:strRef>
              <c:f>'CSIB Data '!$E$1:$P$1</c:f>
              <c:strCache>
                <c:ptCount val="12"/>
                <c:pt idx="0">
                  <c:v>Mar-17</c:v>
                </c:pt>
                <c:pt idx="1">
                  <c:v>Jun-17</c:v>
                </c:pt>
                <c:pt idx="2">
                  <c:v>Jul-17</c:v>
                </c:pt>
                <c:pt idx="3">
                  <c:v>Aug-17</c:v>
                </c:pt>
                <c:pt idx="4">
                  <c:v>Sep-17</c:v>
                </c:pt>
                <c:pt idx="5">
                  <c:v>Oct-17</c:v>
                </c:pt>
                <c:pt idx="6">
                  <c:v>Nov-17</c:v>
                </c:pt>
                <c:pt idx="7">
                  <c:v>Dec-17</c:v>
                </c:pt>
                <c:pt idx="8">
                  <c:v>Jan-18</c:v>
                </c:pt>
                <c:pt idx="9">
                  <c:v>Feb-18</c:v>
                </c:pt>
                <c:pt idx="10">
                  <c:v>Mar-18</c:v>
                </c:pt>
                <c:pt idx="11">
                  <c:v>Apr-18</c:v>
                </c:pt>
              </c:strCache>
            </c:strRef>
          </c:cat>
          <c:val>
            <c:numRef>
              <c:f>'CSIB Data '!$E$2:$P$2</c:f>
              <c:numCache>
                <c:formatCode>0</c:formatCode>
                <c:ptCount val="12"/>
                <c:pt idx="0" formatCode="General">
                  <c:v>2314</c:v>
                </c:pt>
                <c:pt idx="1">
                  <c:v>2141</c:v>
                </c:pt>
                <c:pt idx="2">
                  <c:v>2395</c:v>
                </c:pt>
                <c:pt idx="3">
                  <c:v>1922</c:v>
                </c:pt>
                <c:pt idx="4">
                  <c:v>2176</c:v>
                </c:pt>
                <c:pt idx="5">
                  <c:v>2126</c:v>
                </c:pt>
                <c:pt idx="6">
                  <c:v>1786</c:v>
                </c:pt>
                <c:pt idx="7">
                  <c:v>934</c:v>
                </c:pt>
                <c:pt idx="8">
                  <c:v>1014</c:v>
                </c:pt>
                <c:pt idx="9">
                  <c:v>788</c:v>
                </c:pt>
              </c:numCache>
            </c:numRef>
          </c:val>
        </c:ser>
        <c:dLbls>
          <c:showLegendKey val="0"/>
          <c:showVal val="0"/>
          <c:showCatName val="0"/>
          <c:showSerName val="0"/>
          <c:showPercent val="0"/>
          <c:showBubbleSize val="0"/>
        </c:dLbls>
        <c:gapWidth val="150"/>
        <c:axId val="156172672"/>
        <c:axId val="156174208"/>
      </c:barChart>
      <c:catAx>
        <c:axId val="156172672"/>
        <c:scaling>
          <c:orientation val="minMax"/>
        </c:scaling>
        <c:delete val="0"/>
        <c:axPos val="b"/>
        <c:numFmt formatCode="mmm\-yy" sourceLinked="1"/>
        <c:majorTickMark val="out"/>
        <c:minorTickMark val="none"/>
        <c:tickLblPos val="nextTo"/>
        <c:txPr>
          <a:bodyPr rot="-5400000" vert="horz"/>
          <a:lstStyle/>
          <a:p>
            <a:pPr>
              <a:defRPr sz="700" b="0" i="0" u="none" strike="noStrike" baseline="0">
                <a:solidFill>
                  <a:srgbClr val="000000"/>
                </a:solidFill>
                <a:latin typeface="Calibri"/>
                <a:ea typeface="Calibri"/>
                <a:cs typeface="Calibri"/>
              </a:defRPr>
            </a:pPr>
            <a:endParaRPr lang="en-US"/>
          </a:p>
        </c:txPr>
        <c:crossAx val="156174208"/>
        <c:crosses val="autoZero"/>
        <c:auto val="1"/>
        <c:lblAlgn val="ctr"/>
        <c:lblOffset val="100"/>
        <c:noMultiLvlLbl val="0"/>
      </c:catAx>
      <c:valAx>
        <c:axId val="156174208"/>
        <c:scaling>
          <c:orientation val="minMax"/>
          <c:min val="0"/>
        </c:scaling>
        <c:delete val="0"/>
        <c:axPos val="l"/>
        <c:numFmt formatCode="General" sourceLinked="1"/>
        <c:majorTickMark val="out"/>
        <c:minorTickMark val="none"/>
        <c:tickLblPos val="nextTo"/>
        <c:txPr>
          <a:bodyPr rot="0" vert="horz"/>
          <a:lstStyle/>
          <a:p>
            <a:pPr>
              <a:defRPr sz="700" b="0" i="0" u="none" strike="noStrike" baseline="0">
                <a:solidFill>
                  <a:srgbClr val="000000"/>
                </a:solidFill>
                <a:latin typeface="Calibri"/>
                <a:ea typeface="Calibri"/>
                <a:cs typeface="Calibri"/>
              </a:defRPr>
            </a:pPr>
            <a:endParaRPr lang="en-US"/>
          </a:p>
        </c:txPr>
        <c:crossAx val="156172672"/>
        <c:crosses val="autoZero"/>
        <c:crossBetween val="between"/>
        <c:majorUnit val="500"/>
      </c:valAx>
    </c:plotArea>
    <c:plotVisOnly val="1"/>
    <c:dispBlanksAs val="gap"/>
    <c:showDLblsOverMax val="0"/>
  </c:chart>
  <c:txPr>
    <a:bodyPr/>
    <a:lstStyle/>
    <a:p>
      <a:pPr>
        <a:defRPr sz="7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800" b="1" i="0" u="none" strike="noStrike" baseline="0">
              <a:solidFill>
                <a:srgbClr val="000000"/>
              </a:solidFill>
              <a:latin typeface="Calibri"/>
              <a:ea typeface="Calibri"/>
              <a:cs typeface="Calibri"/>
            </a:defRPr>
          </a:pPr>
          <a:endParaRPr lang="en-US"/>
        </a:p>
      </c:txPr>
    </c:title>
    <c:autoTitleDeleted val="0"/>
    <c:plotArea>
      <c:layout/>
      <c:barChart>
        <c:barDir val="col"/>
        <c:grouping val="clustered"/>
        <c:varyColors val="0"/>
        <c:ser>
          <c:idx val="0"/>
          <c:order val="0"/>
          <c:tx>
            <c:strRef>
              <c:f>'CSIB Data '!$B$4</c:f>
              <c:strCache>
                <c:ptCount val="1"/>
                <c:pt idx="0">
                  <c:v>Children Subject to a Protection Plan</c:v>
                </c:pt>
              </c:strCache>
            </c:strRef>
          </c:tx>
          <c:spPr>
            <a:solidFill>
              <a:srgbClr val="1F497D">
                <a:lumMod val="20000"/>
                <a:lumOff val="80000"/>
              </a:srgbClr>
            </a:solidFill>
          </c:spPr>
          <c:invertIfNegative val="0"/>
          <c:dLbls>
            <c:txPr>
              <a:bodyPr/>
              <a:lstStyle/>
              <a:p>
                <a:pPr>
                  <a:defRPr sz="700" b="0"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showLeaderLines val="0"/>
          </c:dLbls>
          <c:trendline>
            <c:spPr>
              <a:ln w="15875">
                <a:prstDash val="dash"/>
                <a:tailEnd type="triangle" w="med" len="med"/>
              </a:ln>
            </c:spPr>
            <c:trendlineType val="linear"/>
            <c:dispRSqr val="0"/>
            <c:dispEq val="0"/>
          </c:trendline>
          <c:cat>
            <c:strRef>
              <c:f>'CSIB Data '!$E$1:$P$1</c:f>
              <c:strCache>
                <c:ptCount val="12"/>
                <c:pt idx="0">
                  <c:v>Mar-17</c:v>
                </c:pt>
                <c:pt idx="1">
                  <c:v>Jun-17</c:v>
                </c:pt>
                <c:pt idx="2">
                  <c:v>Jul-17</c:v>
                </c:pt>
                <c:pt idx="3">
                  <c:v>Aug-17</c:v>
                </c:pt>
                <c:pt idx="4">
                  <c:v>Sep-17</c:v>
                </c:pt>
                <c:pt idx="5">
                  <c:v>Oct-17</c:v>
                </c:pt>
                <c:pt idx="6">
                  <c:v>Nov-17</c:v>
                </c:pt>
                <c:pt idx="7">
                  <c:v>Dec-17</c:v>
                </c:pt>
                <c:pt idx="8">
                  <c:v>Jan-18</c:v>
                </c:pt>
                <c:pt idx="9">
                  <c:v>Feb-18</c:v>
                </c:pt>
                <c:pt idx="10">
                  <c:v>Mar-18</c:v>
                </c:pt>
                <c:pt idx="11">
                  <c:v>Apr-18</c:v>
                </c:pt>
              </c:strCache>
            </c:strRef>
          </c:cat>
          <c:val>
            <c:numRef>
              <c:f>'CSIB Data '!$E$4:$P$4</c:f>
              <c:numCache>
                <c:formatCode>General</c:formatCode>
                <c:ptCount val="12"/>
                <c:pt idx="0">
                  <c:v>453</c:v>
                </c:pt>
                <c:pt idx="1">
                  <c:v>479</c:v>
                </c:pt>
                <c:pt idx="2">
                  <c:v>503</c:v>
                </c:pt>
                <c:pt idx="3">
                  <c:v>529</c:v>
                </c:pt>
                <c:pt idx="4">
                  <c:v>549</c:v>
                </c:pt>
                <c:pt idx="5">
                  <c:v>566</c:v>
                </c:pt>
                <c:pt idx="6">
                  <c:v>589</c:v>
                </c:pt>
                <c:pt idx="7">
                  <c:v>618</c:v>
                </c:pt>
                <c:pt idx="8">
                  <c:v>642</c:v>
                </c:pt>
                <c:pt idx="9">
                  <c:v>679</c:v>
                </c:pt>
              </c:numCache>
            </c:numRef>
          </c:val>
        </c:ser>
        <c:dLbls>
          <c:showLegendKey val="0"/>
          <c:showVal val="0"/>
          <c:showCatName val="0"/>
          <c:showSerName val="0"/>
          <c:showPercent val="0"/>
          <c:showBubbleSize val="0"/>
        </c:dLbls>
        <c:gapWidth val="150"/>
        <c:axId val="152549632"/>
        <c:axId val="152559616"/>
      </c:barChart>
      <c:catAx>
        <c:axId val="152549632"/>
        <c:scaling>
          <c:orientation val="minMax"/>
        </c:scaling>
        <c:delete val="0"/>
        <c:axPos val="b"/>
        <c:numFmt formatCode="mmm\-yy" sourceLinked="1"/>
        <c:majorTickMark val="out"/>
        <c:minorTickMark val="none"/>
        <c:tickLblPos val="nextTo"/>
        <c:txPr>
          <a:bodyPr rot="-5400000" vert="horz"/>
          <a:lstStyle/>
          <a:p>
            <a:pPr>
              <a:defRPr sz="700" b="0" i="0" u="none" strike="noStrike" baseline="0">
                <a:solidFill>
                  <a:srgbClr val="000000"/>
                </a:solidFill>
                <a:latin typeface="Calibri"/>
                <a:ea typeface="Calibri"/>
                <a:cs typeface="Calibri"/>
              </a:defRPr>
            </a:pPr>
            <a:endParaRPr lang="en-US"/>
          </a:p>
        </c:txPr>
        <c:crossAx val="152559616"/>
        <c:crosses val="autoZero"/>
        <c:auto val="1"/>
        <c:lblAlgn val="ctr"/>
        <c:lblOffset val="100"/>
        <c:noMultiLvlLbl val="0"/>
      </c:catAx>
      <c:valAx>
        <c:axId val="152559616"/>
        <c:scaling>
          <c:orientation val="minMax"/>
          <c:max val="800"/>
          <c:min val="0"/>
        </c:scaling>
        <c:delete val="0"/>
        <c:axPos val="l"/>
        <c:numFmt formatCode="General" sourceLinked="1"/>
        <c:majorTickMark val="out"/>
        <c:minorTickMark val="none"/>
        <c:tickLblPos val="nextTo"/>
        <c:txPr>
          <a:bodyPr rot="0" vert="horz"/>
          <a:lstStyle/>
          <a:p>
            <a:pPr>
              <a:defRPr sz="700" b="0" i="0" u="none" strike="noStrike" baseline="0">
                <a:solidFill>
                  <a:srgbClr val="000000"/>
                </a:solidFill>
                <a:latin typeface="Calibri"/>
                <a:ea typeface="Calibri"/>
                <a:cs typeface="Calibri"/>
              </a:defRPr>
            </a:pPr>
            <a:endParaRPr lang="en-US"/>
          </a:p>
        </c:txPr>
        <c:crossAx val="152549632"/>
        <c:crosses val="autoZero"/>
        <c:crossBetween val="between"/>
        <c:majorUnit val="100"/>
      </c:valAx>
    </c:plotArea>
    <c:plotVisOnly val="1"/>
    <c:dispBlanksAs val="gap"/>
    <c:showDLblsOverMax val="0"/>
  </c:chart>
  <c:txPr>
    <a:bodyPr/>
    <a:lstStyle/>
    <a:p>
      <a:pPr>
        <a:defRPr sz="7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800" b="1" i="0" u="none" strike="noStrike" baseline="0">
              <a:solidFill>
                <a:srgbClr val="000000"/>
              </a:solidFill>
              <a:latin typeface="Calibri"/>
              <a:ea typeface="Calibri"/>
              <a:cs typeface="Calibri"/>
            </a:defRPr>
          </a:pPr>
          <a:endParaRPr lang="en-US"/>
        </a:p>
      </c:txPr>
    </c:title>
    <c:autoTitleDeleted val="0"/>
    <c:plotArea>
      <c:layout/>
      <c:barChart>
        <c:barDir val="col"/>
        <c:grouping val="clustered"/>
        <c:varyColors val="0"/>
        <c:ser>
          <c:idx val="0"/>
          <c:order val="0"/>
          <c:tx>
            <c:strRef>
              <c:f>'CSIB Data '!$B$5</c:f>
              <c:strCache>
                <c:ptCount val="1"/>
                <c:pt idx="0">
                  <c:v>Children in Care</c:v>
                </c:pt>
              </c:strCache>
            </c:strRef>
          </c:tx>
          <c:spPr>
            <a:solidFill>
              <a:srgbClr val="1F497D">
                <a:lumMod val="20000"/>
                <a:lumOff val="80000"/>
              </a:srgbClr>
            </a:solidFill>
          </c:spPr>
          <c:invertIfNegative val="0"/>
          <c:dLbls>
            <c:txPr>
              <a:bodyPr/>
              <a:lstStyle/>
              <a:p>
                <a:pPr>
                  <a:defRPr sz="700" b="0"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showLeaderLines val="0"/>
          </c:dLbls>
          <c:trendline>
            <c:spPr>
              <a:ln w="15875">
                <a:prstDash val="dash"/>
                <a:tailEnd type="triangle" w="med" len="med"/>
              </a:ln>
            </c:spPr>
            <c:trendlineType val="linear"/>
            <c:dispRSqr val="0"/>
            <c:dispEq val="0"/>
          </c:trendline>
          <c:cat>
            <c:strRef>
              <c:f>'CSIB Data '!$E$1:$P$1</c:f>
              <c:strCache>
                <c:ptCount val="12"/>
                <c:pt idx="0">
                  <c:v>Mar-17</c:v>
                </c:pt>
                <c:pt idx="1">
                  <c:v>Jun-17</c:v>
                </c:pt>
                <c:pt idx="2">
                  <c:v>Jul-17</c:v>
                </c:pt>
                <c:pt idx="3">
                  <c:v>Aug-17</c:v>
                </c:pt>
                <c:pt idx="4">
                  <c:v>Sep-17</c:v>
                </c:pt>
                <c:pt idx="5">
                  <c:v>Oct-17</c:v>
                </c:pt>
                <c:pt idx="6">
                  <c:v>Nov-17</c:v>
                </c:pt>
                <c:pt idx="7">
                  <c:v>Dec-17</c:v>
                </c:pt>
                <c:pt idx="8">
                  <c:v>Jan-18</c:v>
                </c:pt>
                <c:pt idx="9">
                  <c:v>Feb-18</c:v>
                </c:pt>
                <c:pt idx="10">
                  <c:v>Mar-18</c:v>
                </c:pt>
                <c:pt idx="11">
                  <c:v>Apr-18</c:v>
                </c:pt>
              </c:strCache>
            </c:strRef>
          </c:cat>
          <c:val>
            <c:numRef>
              <c:f>'CSIB Data '!$E$5:$P$5</c:f>
              <c:numCache>
                <c:formatCode>General</c:formatCode>
                <c:ptCount val="12"/>
                <c:pt idx="0">
                  <c:v>613</c:v>
                </c:pt>
                <c:pt idx="1">
                  <c:v>629</c:v>
                </c:pt>
                <c:pt idx="2">
                  <c:v>629</c:v>
                </c:pt>
                <c:pt idx="3">
                  <c:v>633</c:v>
                </c:pt>
                <c:pt idx="4">
                  <c:v>632</c:v>
                </c:pt>
                <c:pt idx="5">
                  <c:v>639</c:v>
                </c:pt>
                <c:pt idx="6">
                  <c:v>642</c:v>
                </c:pt>
                <c:pt idx="7">
                  <c:v>638</c:v>
                </c:pt>
                <c:pt idx="8">
                  <c:v>641</c:v>
                </c:pt>
                <c:pt idx="9">
                  <c:v>650</c:v>
                </c:pt>
              </c:numCache>
            </c:numRef>
          </c:val>
        </c:ser>
        <c:dLbls>
          <c:showLegendKey val="0"/>
          <c:showVal val="0"/>
          <c:showCatName val="0"/>
          <c:showSerName val="0"/>
          <c:showPercent val="0"/>
          <c:showBubbleSize val="0"/>
        </c:dLbls>
        <c:gapWidth val="150"/>
        <c:axId val="152527616"/>
        <c:axId val="152529152"/>
      </c:barChart>
      <c:catAx>
        <c:axId val="152527616"/>
        <c:scaling>
          <c:orientation val="minMax"/>
        </c:scaling>
        <c:delete val="0"/>
        <c:axPos val="b"/>
        <c:numFmt formatCode="mmm\-yy" sourceLinked="1"/>
        <c:majorTickMark val="out"/>
        <c:minorTickMark val="none"/>
        <c:tickLblPos val="nextTo"/>
        <c:txPr>
          <a:bodyPr rot="-5400000" vert="horz"/>
          <a:lstStyle/>
          <a:p>
            <a:pPr>
              <a:defRPr sz="700" b="0" i="0" u="none" strike="noStrike" baseline="0">
                <a:solidFill>
                  <a:srgbClr val="000000"/>
                </a:solidFill>
                <a:latin typeface="Calibri"/>
                <a:ea typeface="Calibri"/>
                <a:cs typeface="Calibri"/>
              </a:defRPr>
            </a:pPr>
            <a:endParaRPr lang="en-US"/>
          </a:p>
        </c:txPr>
        <c:crossAx val="152529152"/>
        <c:crosses val="autoZero"/>
        <c:auto val="1"/>
        <c:lblAlgn val="ctr"/>
        <c:lblOffset val="100"/>
        <c:noMultiLvlLbl val="0"/>
      </c:catAx>
      <c:valAx>
        <c:axId val="152529152"/>
        <c:scaling>
          <c:orientation val="minMax"/>
          <c:max val="800"/>
          <c:min val="0"/>
        </c:scaling>
        <c:delete val="0"/>
        <c:axPos val="l"/>
        <c:numFmt formatCode="General" sourceLinked="1"/>
        <c:majorTickMark val="out"/>
        <c:minorTickMark val="none"/>
        <c:tickLblPos val="nextTo"/>
        <c:txPr>
          <a:bodyPr rot="0" vert="horz"/>
          <a:lstStyle/>
          <a:p>
            <a:pPr>
              <a:defRPr sz="700" b="0" i="0" u="none" strike="noStrike" baseline="0">
                <a:solidFill>
                  <a:srgbClr val="000000"/>
                </a:solidFill>
                <a:latin typeface="Calibri"/>
                <a:ea typeface="Calibri"/>
                <a:cs typeface="Calibri"/>
              </a:defRPr>
            </a:pPr>
            <a:endParaRPr lang="en-US"/>
          </a:p>
        </c:txPr>
        <c:crossAx val="152527616"/>
        <c:crosses val="autoZero"/>
        <c:crossBetween val="between"/>
        <c:majorUnit val="100"/>
      </c:valAx>
    </c:plotArea>
    <c:plotVisOnly val="1"/>
    <c:dispBlanksAs val="gap"/>
    <c:showDLblsOverMax val="0"/>
  </c:chart>
  <c:txPr>
    <a:bodyPr/>
    <a:lstStyle/>
    <a:p>
      <a:pPr>
        <a:defRPr sz="700" b="0"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Alison</dc:creator>
  <cp:lastModifiedBy>PRICE, Rachel</cp:lastModifiedBy>
  <cp:revision>2</cp:revision>
  <dcterms:created xsi:type="dcterms:W3CDTF">2018-03-15T14:07:00Z</dcterms:created>
  <dcterms:modified xsi:type="dcterms:W3CDTF">2018-03-15T14:07:00Z</dcterms:modified>
</cp:coreProperties>
</file>