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6593"/>
        <w:gridCol w:w="1184"/>
        <w:gridCol w:w="1851"/>
        <w:gridCol w:w="1644"/>
        <w:gridCol w:w="1731"/>
        <w:gridCol w:w="2110"/>
      </w:tblGrid>
      <w:tr w:rsidR="00352EFF" w:rsidRPr="00352EFF" w14:paraId="6652A5CA" w14:textId="77777777" w:rsidTr="003A2B43">
        <w:trPr>
          <w:trHeight w:val="300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F36E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352EFF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Gloucestershire County Council (GCC) and Gloucestershire Fire and Rescue Service (GFRS) Headcount and Full Time Equivalent (FTE)</w:t>
            </w:r>
          </w:p>
        </w:tc>
      </w:tr>
      <w:tr w:rsidR="003A2B43" w:rsidRPr="00352EFF" w14:paraId="27F35BFF" w14:textId="77777777" w:rsidTr="003A2B43">
        <w:trPr>
          <w:trHeight w:val="300"/>
        </w:trPr>
        <w:tc>
          <w:tcPr>
            <w:tcW w:w="6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26A1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A5B6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0BF0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C157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0790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FACD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52EFF" w:rsidRPr="00352EFF" w14:paraId="4425EAA8" w14:textId="77777777" w:rsidTr="003A2B43">
        <w:trPr>
          <w:trHeight w:val="300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1117" w14:textId="77777777" w:rsid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Headcount figures relate to the number of permanent and fixed term contract employees (excluding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Schools staff and staff on temporary and </w:t>
            </w: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casual contracts). If an employee has more than one contract they are only counted once.</w:t>
            </w:r>
          </w:p>
          <w:p w14:paraId="7C2575D2" w14:textId="77777777" w:rsidR="00352EFF" w:rsidRP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352EFF" w:rsidRPr="00352EFF" w14:paraId="4412395C" w14:textId="77777777" w:rsidTr="003A2B43">
        <w:trPr>
          <w:trHeight w:val="300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0220" w14:textId="2C397FC1" w:rsid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F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ull Time Equivalent (F</w:t>
            </w: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TE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figures relate to permanent and fixed term contract employees (excluding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Schools staff and staff on temporary and </w:t>
            </w: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casual contracts)</w:t>
            </w: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; </w:t>
            </w:r>
            <w:r w:rsidRPr="00352EFF">
              <w:rPr>
                <w:rFonts w:ascii="Calibri" w:eastAsia="Times New Roman" w:hAnsi="Calibri" w:cs="Times New Roman"/>
                <w:color w:val="000000"/>
                <w:lang w:eastAsia="en-GB"/>
              </w:rPr>
              <w:t>if an employee has more than one contract the proportion of hours worked on each contract are counted.</w:t>
            </w:r>
          </w:p>
          <w:p w14:paraId="31667053" w14:textId="77777777" w:rsidR="00352EFF" w:rsidRDefault="00352EFF" w:rsidP="00352EF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14887" w:type="dxa"/>
              <w:tblLook w:val="04A0" w:firstRow="1" w:lastRow="0" w:firstColumn="1" w:lastColumn="0" w:noHBand="0" w:noVBand="1"/>
            </w:tblPr>
            <w:tblGrid>
              <w:gridCol w:w="1258"/>
              <w:gridCol w:w="728"/>
              <w:gridCol w:w="1215"/>
              <w:gridCol w:w="645"/>
              <w:gridCol w:w="1329"/>
              <w:gridCol w:w="797"/>
              <w:gridCol w:w="2076"/>
              <w:gridCol w:w="830"/>
              <w:gridCol w:w="988"/>
              <w:gridCol w:w="1701"/>
              <w:gridCol w:w="1843"/>
              <w:gridCol w:w="1477"/>
            </w:tblGrid>
            <w:tr w:rsidR="00352EFF" w:rsidRPr="00352EFF" w14:paraId="70E98E8B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80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FECCE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Headcount</w:t>
                  </w:r>
                </w:p>
              </w:tc>
              <w:tc>
                <w:tcPr>
                  <w:tcW w:w="5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5C6DB5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FTE</w:t>
                  </w:r>
                </w:p>
              </w:tc>
            </w:tr>
            <w:tr w:rsidR="00352EFF" w:rsidRPr="00352EFF" w14:paraId="3463EB30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E69E0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Year (01 April)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8820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Headcount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72ED9F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Headcount: change from previous year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12B6DE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Headcount: Annual Percentage Change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FE45C7" w14:textId="7BE508BB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FTE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C7C90C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FTE Change from previous year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789E76" w14:textId="77777777" w:rsidR="00352EFF" w:rsidRPr="005A3EA5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FTE Annual Percentage Change</w:t>
                  </w:r>
                </w:p>
              </w:tc>
            </w:tr>
            <w:tr w:rsidR="00352EFF" w:rsidRPr="00352EFF" w14:paraId="18376A91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402FD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B38AA3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3,103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DA6A2E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29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282DD2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0.90%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2933A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2,598.57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86EBEB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1553AA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</w:p>
              </w:tc>
            </w:tr>
            <w:tr w:rsidR="00352EFF" w:rsidRPr="00352EFF" w14:paraId="40E8DDE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FFECEF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313F67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3,127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A1D33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EEBA5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0.80%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42E2AC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2,653.26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EB022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54.69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B7E56B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2.10%</w:t>
                  </w:r>
                </w:p>
              </w:tc>
            </w:tr>
            <w:tr w:rsidR="00352EFF" w:rsidRPr="00352EFF" w14:paraId="78FB3731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1BA5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AF6746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3,145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9DC92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18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F9559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0.60%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135AD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2,659.52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F4E61E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6.26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2CF68D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0.20%</w:t>
                  </w:r>
                </w:p>
              </w:tc>
            </w:tr>
            <w:tr w:rsidR="00352EFF" w:rsidRPr="00352EFF" w14:paraId="7D38B9E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8146F0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B5401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3,155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229D00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EE05E7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0.30%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56741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2,711.88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6F783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52.36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240B1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2.00%</w:t>
                  </w:r>
                </w:p>
              </w:tc>
            </w:tr>
            <w:tr w:rsidR="003A2B43" w:rsidRPr="00352EFF" w14:paraId="014312C0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4412A57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2019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020779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3,279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E58BD2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84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31A91D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2.70%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31B5B9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2,807.10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153B2B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95.22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8BCCF8" w14:textId="77777777" w:rsidR="00352EFF" w:rsidRPr="00352EFF" w:rsidRDefault="00352EF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3.50%</w:t>
                  </w:r>
                </w:p>
              </w:tc>
            </w:tr>
            <w:tr w:rsidR="009A2E1F" w:rsidRPr="00352EFF" w14:paraId="0832E736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32FC43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2020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00445C6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3,523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EF57B15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244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7F8709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7.44%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96C4F54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3,030.21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B2BF427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223.11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423D36" w14:textId="77777777" w:rsidR="009A2E1F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7.95%</w:t>
                  </w:r>
                </w:p>
              </w:tc>
            </w:tr>
            <w:tr w:rsidR="00CF5FFB" w:rsidRPr="00352EFF" w14:paraId="2682DBFA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DCA4A3" w14:textId="77777777" w:rsidR="00CF5FFB" w:rsidRDefault="00CF5FFB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2021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2A4D4E6" w14:textId="77777777" w:rsidR="00CF5FFB" w:rsidRDefault="00CF5FFB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3,581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8886863" w14:textId="77777777" w:rsidR="00CF5FFB" w:rsidRDefault="00A024B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58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19849E" w14:textId="77777777" w:rsidR="00CF5FFB" w:rsidRDefault="0080459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1.65%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017564" w14:textId="77777777" w:rsidR="00CF5FFB" w:rsidRDefault="0080459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3,128.09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016EEB" w14:textId="77777777" w:rsidR="00CF5FFB" w:rsidRDefault="008A17BD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97.88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B09154B" w14:textId="77777777" w:rsidR="00CF5FFB" w:rsidRDefault="008A17BD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3.23%</w:t>
                  </w:r>
                </w:p>
              </w:tc>
            </w:tr>
            <w:tr w:rsidR="00CC1921" w:rsidRPr="00352EFF" w14:paraId="7874D4C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633712" w14:textId="7604FE3C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2022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446A4E" w14:textId="6171C6CE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3,504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AF1817" w14:textId="535D923A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-77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3BF775" w14:textId="31B8D000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-2.15%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C9119D3" w14:textId="24D8B441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3,073.70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9870B9" w14:textId="6E41F683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-54.39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291E1B" w14:textId="789573D7" w:rsidR="00CC1921" w:rsidRDefault="00CC192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-1.74%</w:t>
                  </w:r>
                </w:p>
              </w:tc>
            </w:tr>
            <w:tr w:rsidR="00EC3C2E" w:rsidRPr="00352EFF" w14:paraId="2BAF9EC7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7BFA1E" w14:textId="28FF2CC1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3735FB" w14:textId="6B1C9556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3,655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1E9301" w14:textId="5F9DEF0E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151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FA8FBE" w14:textId="3484F4A4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4.31%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0692198" w14:textId="73CAA139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3,245.57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C3ABF8D" w14:textId="13159AFF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171.87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4D35D50" w14:textId="13DF80C2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5.59%</w:t>
                  </w:r>
                </w:p>
              </w:tc>
            </w:tr>
            <w:tr w:rsidR="0065241F" w:rsidRPr="00352EFF" w14:paraId="5ABCE853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5D4F3C" w14:textId="1A7ABCB7" w:rsidR="0065241F" w:rsidRDefault="0065241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2024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B5A5C4" w14:textId="79ECE1F4" w:rsidR="0065241F" w:rsidRDefault="0065241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3,870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DA4F213" w14:textId="6F4F1CEE" w:rsidR="0065241F" w:rsidRDefault="0065241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E77A48" w14:textId="3FFC524F" w:rsidR="0065241F" w:rsidRDefault="0065241F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5.88%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A4AC930" w14:textId="037B73A9" w:rsidR="0065241F" w:rsidRDefault="009A3064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3,447.01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1516A6" w14:textId="41C14A0F" w:rsidR="0065241F" w:rsidRDefault="009A3064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201.44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129A78" w14:textId="601433A3" w:rsidR="0065241F" w:rsidRDefault="009A3064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6.21%</w:t>
                  </w:r>
                </w:p>
              </w:tc>
            </w:tr>
            <w:tr w:rsidR="003676F8" w:rsidRPr="00352EFF" w14:paraId="6B11FB57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EDD16B" w14:textId="0F107FAF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7C538" w14:textId="31B8C5F4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4,195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A5DCE6" w14:textId="7B02B83F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325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81814" w14:textId="77671EA3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8.40%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609DC4" w14:textId="6E7829C4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3,759.30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91549F" w14:textId="3C679B96" w:rsidR="003676F8" w:rsidRDefault="003676F8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312.29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66851AD" w14:textId="6CB828B9" w:rsidR="003676F8" w:rsidRDefault="007D5740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9.06%</w:t>
                  </w:r>
                </w:p>
              </w:tc>
            </w:tr>
            <w:tr w:rsidR="005A3EA5" w:rsidRPr="00352EFF" w14:paraId="66617B8C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82B459" w14:textId="77777777" w:rsid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053DD7DF" w14:textId="2D4D7980" w:rsidR="00CC1921" w:rsidRPr="00352EFF" w:rsidRDefault="00CC1921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8F3584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4E8F1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690CD0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D684C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36FDB2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F5BCC" w14:textId="77777777" w:rsidR="00352EFF" w:rsidRPr="00352EFF" w:rsidRDefault="00352EFF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5A3EA5" w:rsidRPr="00352EFF" w14:paraId="7F784DA1" w14:textId="77777777" w:rsidTr="003A2B43">
              <w:trPr>
                <w:trHeight w:val="300"/>
              </w:trPr>
              <w:tc>
                <w:tcPr>
                  <w:tcW w:w="59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CD8CEA" w14:textId="77777777" w:rsid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GCC  Headcount</w:t>
                  </w:r>
                  <w:proofErr w:type="gramEnd"/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: </w:t>
                  </w:r>
                </w:p>
                <w:p w14:paraId="1CA3CBCB" w14:textId="1B1457FE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</w:t>
                  </w:r>
                  <w:r w:rsidR="008E6D0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2CDFBF8" w14:textId="501E0B11" w:rsidR="005A3EA5" w:rsidRPr="00352EFF" w:rsidRDefault="007D5740" w:rsidP="00DA74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1,092</w:t>
                  </w:r>
                </w:p>
              </w:tc>
              <w:tc>
                <w:tcPr>
                  <w:tcW w:w="3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482F09" w14:textId="77777777" w:rsid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FTE: </w:t>
                  </w:r>
                </w:p>
                <w:p w14:paraId="43415339" w14:textId="0865F059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</w:t>
                  </w:r>
                  <w:r w:rsidR="00EC3C2E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tal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change since 01 April 2015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27B36" w14:textId="75C7A5C3" w:rsidR="005A3EA5" w:rsidRPr="00352EFF" w:rsidRDefault="007D5740" w:rsidP="00DA74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1,160.73</w:t>
                  </w:r>
                </w:p>
              </w:tc>
              <w:tc>
                <w:tcPr>
                  <w:tcW w:w="1477" w:type="dxa"/>
                  <w:vAlign w:val="bottom"/>
                </w:tcPr>
                <w:p w14:paraId="11DDA7BA" w14:textId="77777777" w:rsidR="005A3EA5" w:rsidRPr="00352EFF" w:rsidRDefault="005A3EA5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5A3EA5" w:rsidRPr="00352EFF" w14:paraId="2B54A64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59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470922" w14:textId="77777777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Headcount: </w:t>
                  </w:r>
                </w:p>
                <w:p w14:paraId="513629B4" w14:textId="5E17E295" w:rsidR="005A3EA5" w:rsidRPr="00352EFF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CC1921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Total Percentage Change since April 20</w:t>
                  </w:r>
                  <w:r w:rsidR="008E6D0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5EABBC1" w14:textId="4E37BD82" w:rsidR="005A3EA5" w:rsidRPr="00352EFF" w:rsidRDefault="007D5740" w:rsidP="00DA74B2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35.19</w:t>
                  </w:r>
                  <w:r w:rsidR="00C64C62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3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9319B07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GCC FTE: total change since 01 April 2015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F15330F" w14:textId="4DC63818" w:rsidR="005A3EA5" w:rsidRPr="00352EFF" w:rsidRDefault="007D5740" w:rsidP="005A3EA5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44.67</w:t>
                  </w:r>
                  <w:r w:rsidR="005A3EA5"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5A3EA5" w:rsidRPr="00352EFF" w14:paraId="6246B2A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2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B68B0D" w14:textId="77777777" w:rsidR="005A3EA5" w:rsidRDefault="005A3EA5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2DFEA21D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76F1692C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4E0C552F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7F974F6B" w14:textId="77777777" w:rsidR="006542D6" w:rsidRDefault="006542D6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3155A354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4C7800A3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20DD66F6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3546E3E8" w14:textId="77777777" w:rsidR="002A73B4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697BFE35" w14:textId="49E759C4" w:rsidR="002A73B4" w:rsidRPr="00352EFF" w:rsidRDefault="002A73B4" w:rsidP="00972E7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D4203A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9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E53D44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8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6C3EA2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B9A06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40DBD4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3E3365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5A3EA5" w:rsidRPr="00352EFF" w14:paraId="72EDFE0F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8048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5C65A8" w14:textId="77777777" w:rsid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4D40D8BB" w14:textId="77777777" w:rsidR="001D04A3" w:rsidRPr="00352EFF" w:rsidRDefault="001D04A3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8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90ECD7" w14:textId="77777777" w:rsid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  <w:p w14:paraId="4BC767E2" w14:textId="77777777" w:rsidR="009A3E69" w:rsidRPr="00352EFF" w:rsidRDefault="009A3E69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8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BE91CCC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90293D3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  <w:tr w:rsidR="005A3EA5" w:rsidRPr="00352EFF" w14:paraId="3830258D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804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881C2" w14:textId="77777777" w:rsidR="005A3EA5" w:rsidRPr="005A3EA5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</w:t>
                  </w:r>
                </w:p>
              </w:tc>
              <w:tc>
                <w:tcPr>
                  <w:tcW w:w="536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6B024" w14:textId="77777777" w:rsidR="005A3EA5" w:rsidRPr="005A3EA5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</w:t>
                  </w:r>
                </w:p>
              </w:tc>
            </w:tr>
            <w:tr w:rsidR="005A3EA5" w:rsidRPr="00352EFF" w14:paraId="4D000592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1D6F36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Year (01 April)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402E0D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394D9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Headcount: change from previous year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E2006F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Headcount: Annual Percentage Change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74D41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9BB9E3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 Change from previous year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3727D6" w14:textId="77777777" w:rsidR="005A3EA5" w:rsidRPr="005A3EA5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 Annual Percentage Change</w:t>
                  </w:r>
                </w:p>
              </w:tc>
            </w:tr>
            <w:tr w:rsidR="005A3EA5" w:rsidRPr="00352EFF" w14:paraId="5487FBFF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52CBC0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F42F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489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97E83F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B5AAC7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-2.60%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6571B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445.84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C8D9D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58FA5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-4.10%</w:t>
                  </w:r>
                </w:p>
              </w:tc>
            </w:tr>
            <w:tr w:rsidR="005A3EA5" w:rsidRPr="00352EFF" w14:paraId="6078D93A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DB53A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25AA2E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467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E5F48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-22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9A2C51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-4.50%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A2ED46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427.35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58C1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-18.49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8B48E9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-4.10%</w:t>
                  </w:r>
                </w:p>
              </w:tc>
            </w:tr>
            <w:tr w:rsidR="005A3EA5" w:rsidRPr="00352EFF" w14:paraId="5BFD9AC4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3263F5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17856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448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235E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-19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3B0E1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-4.10%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8DFD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402.81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D070F4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-24.54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8A3AC7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-5.70%</w:t>
                  </w:r>
                </w:p>
              </w:tc>
            </w:tr>
            <w:tr w:rsidR="005A3EA5" w:rsidRPr="00352EFF" w14:paraId="2D96573C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272D11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F8B32E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444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EA290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-4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F204B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-0.90%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7696A4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402.03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7DF0AA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-0.78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6707D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-0.20%</w:t>
                  </w:r>
                </w:p>
              </w:tc>
            </w:tr>
            <w:tr w:rsidR="005A3EA5" w:rsidRPr="00352EFF" w14:paraId="56B8040F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9D5AE1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2019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B471E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456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81C697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7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AC6061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1.60%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FA34B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408.69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440C5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6.66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F59092" w14:textId="77777777" w:rsidR="005A3EA5" w:rsidRPr="00352EFF" w:rsidRDefault="005A3EA5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1.70%</w:t>
                  </w:r>
                </w:p>
              </w:tc>
            </w:tr>
            <w:tr w:rsidR="00370061" w:rsidRPr="00352EFF" w14:paraId="336CA24F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80972D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2020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34907C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450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97B7B2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-6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6EE88E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-1.32%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DC4E99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403.46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C03A92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5.23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93CEAE" w14:textId="77777777" w:rsidR="00370061" w:rsidRPr="00352EFF" w:rsidRDefault="0037006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-1.28%</w:t>
                  </w:r>
                </w:p>
              </w:tc>
            </w:tr>
            <w:tr w:rsidR="006F07F3" w:rsidRPr="00352EFF" w14:paraId="55F521F3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99B73E8" w14:textId="77777777" w:rsidR="006F07F3" w:rsidRDefault="006F07F3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2021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BA88DD" w14:textId="77777777" w:rsidR="006F07F3" w:rsidRDefault="001E49E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462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214A40" w14:textId="77777777" w:rsidR="006F07F3" w:rsidRDefault="001E49E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2A2310" w14:textId="77777777" w:rsidR="006F07F3" w:rsidRDefault="001E49E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2.67%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8FDDED" w14:textId="77777777" w:rsidR="006F07F3" w:rsidRDefault="001E49E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411.28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41A105" w14:textId="77777777" w:rsidR="006F07F3" w:rsidRDefault="00687B4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7.82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CB0114" w14:textId="77777777" w:rsidR="006F07F3" w:rsidRDefault="00687B41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1.94%</w:t>
                  </w:r>
                </w:p>
              </w:tc>
            </w:tr>
            <w:tr w:rsidR="00972E7A" w:rsidRPr="00352EFF" w14:paraId="35D44178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BBA84D" w14:textId="2B02A952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2022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3482BE" w14:textId="53D276C3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456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8874BC" w14:textId="7685F1B4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-6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F33599" w14:textId="5D5C3022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-1.30%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5C1E99" w14:textId="36F8AFCC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411.03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0EC2A0" w14:textId="41C9BD5C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-0.25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44D5575" w14:textId="7111AB8F" w:rsidR="00972E7A" w:rsidRDefault="00972E7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-0.06%</w:t>
                  </w:r>
                </w:p>
              </w:tc>
            </w:tr>
            <w:tr w:rsidR="00EC3C2E" w:rsidRPr="00352EFF" w14:paraId="60A62ED8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499ADB" w14:textId="3CB668F8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2023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C6ADCF" w14:textId="242E20DF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450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06A78F" w14:textId="29EC2A6B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-6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F56C5C2" w14:textId="04C08275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-1.32%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ED6EC8" w14:textId="127B8C52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405.00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BFB72F" w14:textId="562DD671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-6.03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E37FB0" w14:textId="5C3DF6D9" w:rsidR="00EC3C2E" w:rsidRDefault="00EC3C2E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-1.47%</w:t>
                  </w:r>
                </w:p>
              </w:tc>
            </w:tr>
            <w:tr w:rsidR="004B01E2" w:rsidRPr="00352EFF" w14:paraId="413714B9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1F53565" w14:textId="61E271E4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2024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70E427A" w14:textId="5DE6BDA6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453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19138C" w14:textId="7806804A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0F9171" w14:textId="7AEAE510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0.67%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4B5CA3" w14:textId="63E78341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401.94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2DC915" w14:textId="3B606F83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-3.06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F880BBD" w14:textId="4D7075E8" w:rsidR="004B01E2" w:rsidRDefault="004B01E2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-0.76%</w:t>
                  </w:r>
                </w:p>
              </w:tc>
            </w:tr>
            <w:tr w:rsidR="007D5740" w:rsidRPr="00352EFF" w14:paraId="4082A1B8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19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B4A739" w14:textId="6092D137" w:rsidR="007D5740" w:rsidRDefault="007D5740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2025</w:t>
                  </w:r>
                </w:p>
              </w:tc>
              <w:tc>
                <w:tcPr>
                  <w:tcW w:w="18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7FF95D" w14:textId="705A405C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440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8E65D0" w14:textId="20523A62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-13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E4AE4E" w14:textId="2234CC66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-2.87%</w:t>
                  </w:r>
                </w:p>
              </w:tc>
              <w:tc>
                <w:tcPr>
                  <w:tcW w:w="18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FED0F" w14:textId="3B3EA6ED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390.96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3622B3" w14:textId="7B6691AC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-10.98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DE2D75" w14:textId="2148E264" w:rsidR="007D5740" w:rsidRDefault="00943D6A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-2.73%</w:t>
                  </w:r>
                </w:p>
              </w:tc>
            </w:tr>
            <w:tr w:rsidR="005A3EA5" w:rsidRPr="00352EFF" w14:paraId="70541216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59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43E45" w14:textId="77777777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proofErr w:type="gramStart"/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GFRS  Headcount</w:t>
                  </w:r>
                  <w:proofErr w:type="gramEnd"/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: </w:t>
                  </w:r>
                </w:p>
                <w:p w14:paraId="6175B27C" w14:textId="4E63351F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</w:t>
                  </w:r>
                  <w:r w:rsidR="002A73B4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4D1B94" w14:textId="3D155231" w:rsidR="005A3EA5" w:rsidRPr="00352EFF" w:rsidRDefault="004466F7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  <w:r w:rsidR="00943D6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49</w:t>
                  </w:r>
                </w:p>
              </w:tc>
              <w:tc>
                <w:tcPr>
                  <w:tcW w:w="3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28097B" w14:textId="77777777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GFRS FTE: </w:t>
                  </w:r>
                </w:p>
                <w:p w14:paraId="13009252" w14:textId="7716A142" w:rsidR="005A3EA5" w:rsidRPr="00352EFF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</w:t>
                  </w:r>
                  <w:r w:rsidR="004466F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FA1714" w14:textId="2B93BBB9" w:rsidR="005A3EA5" w:rsidRPr="00352EFF" w:rsidRDefault="00650F44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  <w:r w:rsidR="00D25BDB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54.88</w:t>
                  </w:r>
                </w:p>
              </w:tc>
            </w:tr>
            <w:tr w:rsidR="005A3EA5" w:rsidRPr="00352EFF" w14:paraId="4FA01D88" w14:textId="77777777" w:rsidTr="003A2B43">
              <w:trPr>
                <w:gridAfter w:val="1"/>
                <w:wAfter w:w="1477" w:type="dxa"/>
                <w:trHeight w:val="300"/>
              </w:trPr>
              <w:tc>
                <w:tcPr>
                  <w:tcW w:w="59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6BC31" w14:textId="77777777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GFRS Headcount: </w:t>
                  </w:r>
                </w:p>
                <w:p w14:paraId="08AE9AB7" w14:textId="18F73591" w:rsidR="005A3EA5" w:rsidRPr="00352EFF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Total P</w:t>
                  </w:r>
                  <w:r w:rsidR="00A74583"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ercentage Change since April 20</w:t>
                  </w:r>
                  <w:r w:rsidR="004466F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0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721C13" w14:textId="71AAC65D" w:rsidR="004466F7" w:rsidRPr="00352EFF" w:rsidRDefault="004466F7" w:rsidP="00D25BD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  <w:r w:rsidR="00D25BDB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10.02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  <w:tc>
                <w:tcPr>
                  <w:tcW w:w="351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ABC438" w14:textId="77777777" w:rsidR="005A3EA5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GFRS FTE: </w:t>
                  </w:r>
                </w:p>
                <w:p w14:paraId="11935E7B" w14:textId="5A187ED0" w:rsidR="005A3EA5" w:rsidRPr="00352EFF" w:rsidRDefault="005A3EA5" w:rsidP="005A3EA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</w:t>
                  </w:r>
                  <w:r w:rsidR="004466F7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9C48C2" w14:textId="5A4ADB2E" w:rsidR="005A3EA5" w:rsidRPr="00352EFF" w:rsidRDefault="00650F44" w:rsidP="005A3EA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-</w:t>
                  </w:r>
                  <w:r w:rsidR="00D25BDB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12.31</w:t>
                  </w:r>
                  <w:r w:rsidR="00FD153D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  <w:tr w:rsidR="005A3EA5" w:rsidRPr="00352EFF" w14:paraId="0418F638" w14:textId="77777777" w:rsidTr="003A2B43">
              <w:trPr>
                <w:gridAfter w:val="1"/>
                <w:wAfter w:w="1477" w:type="dxa"/>
                <w:trHeight w:val="467"/>
              </w:trPr>
              <w:tc>
                <w:tcPr>
                  <w:tcW w:w="8878" w:type="dxa"/>
                  <w:gridSpan w:val="8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C99C931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268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C82E06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9A7220" w14:textId="77777777" w:rsidR="005A3EA5" w:rsidRPr="00352EFF" w:rsidRDefault="005A3EA5" w:rsidP="00352EF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</w:p>
              </w:tc>
            </w:tr>
          </w:tbl>
          <w:p w14:paraId="4CAA657C" w14:textId="77777777" w:rsidR="00352EFF" w:rsidRDefault="00352EFF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0042727" w14:textId="77777777" w:rsidR="003A2B43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02A07D06" w14:textId="77777777" w:rsidR="00297C62" w:rsidRDefault="00297C62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4AFE657" w14:textId="77777777" w:rsidR="00297C62" w:rsidRDefault="00297C62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20C7DF9" w14:textId="77777777" w:rsidR="00297C62" w:rsidRDefault="00297C62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33741580" w14:textId="77777777" w:rsidR="00297C62" w:rsidRDefault="00297C62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AEB6BDB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6EA22F76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DD462BD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A451EDA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A9CB1F2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5FE0292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D67D2D3" w14:textId="77777777" w:rsidR="00FD153D" w:rsidRDefault="00FD153D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B33648B" w14:textId="77777777" w:rsidR="00297C62" w:rsidRDefault="00297C62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7A5EEC97" w14:textId="77777777" w:rsidR="003A2B43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26A74C80" w14:textId="77777777" w:rsidR="003A2B43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455E068E" w14:textId="77777777" w:rsidR="003A2B43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tbl>
            <w:tblPr>
              <w:tblW w:w="13369" w:type="dxa"/>
              <w:tblLook w:val="04A0" w:firstRow="1" w:lastRow="0" w:firstColumn="1" w:lastColumn="0" w:noHBand="0" w:noVBand="1"/>
            </w:tblPr>
            <w:tblGrid>
              <w:gridCol w:w="2016"/>
              <w:gridCol w:w="1887"/>
              <w:gridCol w:w="2154"/>
              <w:gridCol w:w="2104"/>
              <w:gridCol w:w="1497"/>
              <w:gridCol w:w="1673"/>
              <w:gridCol w:w="423"/>
              <w:gridCol w:w="1615"/>
            </w:tblGrid>
            <w:tr w:rsidR="003A2B43" w:rsidRPr="005A3EA5" w14:paraId="075CE017" w14:textId="77777777" w:rsidTr="003A2B43">
              <w:trPr>
                <w:trHeight w:val="300"/>
              </w:trPr>
              <w:tc>
                <w:tcPr>
                  <w:tcW w:w="816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2E5C03" w14:textId="77777777" w:rsidR="003A2B43" w:rsidRPr="005A3EA5" w:rsidRDefault="003A2B43" w:rsidP="00DA74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3A2B43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&amp; GFRS combined Headcount</w:t>
                  </w:r>
                </w:p>
              </w:tc>
              <w:tc>
                <w:tcPr>
                  <w:tcW w:w="520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CC48A" w14:textId="77777777" w:rsidR="003A2B43" w:rsidRPr="005A3EA5" w:rsidRDefault="003A2B43" w:rsidP="00DA74B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3A2B43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GCC &amp; GFRS combined FTE</w:t>
                  </w:r>
                </w:p>
              </w:tc>
            </w:tr>
            <w:tr w:rsidR="003A2B43" w:rsidRPr="005A3EA5" w14:paraId="2D70BE94" w14:textId="77777777" w:rsidTr="003A2B43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0D92CC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Year (01 April)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C557AD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C17133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Headcount: change from previous year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2073D7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Headcount: Annual Percentage Change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08CF6E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</w:t>
                  </w:r>
                </w:p>
              </w:tc>
              <w:tc>
                <w:tcPr>
                  <w:tcW w:w="1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0A7E03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 Change from previous year</w:t>
                  </w:r>
                </w:p>
              </w:tc>
              <w:tc>
                <w:tcPr>
                  <w:tcW w:w="20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9104C4" w14:textId="77777777" w:rsidR="003A2B43" w:rsidRPr="005A3EA5" w:rsidRDefault="003A2B43" w:rsidP="003A2B4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</w:pPr>
                  <w:r w:rsidRPr="005A3EA5">
                    <w:rPr>
                      <w:rFonts w:ascii="Calibri" w:eastAsia="Times New Roman" w:hAnsi="Calibri" w:cs="Times New Roman"/>
                      <w:b/>
                      <w:color w:val="000000"/>
                      <w:lang w:eastAsia="en-GB"/>
                    </w:rPr>
                    <w:t>GFRS FTE Annual Percentage Change</w:t>
                  </w:r>
                </w:p>
              </w:tc>
            </w:tr>
            <w:tr w:rsidR="003A2B43" w:rsidRPr="00352EFF" w14:paraId="5593F114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B541CE" w14:textId="77777777" w:rsidR="003A2B43" w:rsidRPr="00352EFF" w:rsidRDefault="003A2B43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AA8327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3,592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76712B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05E28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0.40%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88EEB6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3,044.41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A8F36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94F552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</w:t>
                  </w:r>
                </w:p>
              </w:tc>
            </w:tr>
            <w:tr w:rsidR="003A2B43" w:rsidRPr="00352EFF" w14:paraId="74F13F18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945F23" w14:textId="77777777" w:rsidR="003A2B43" w:rsidRPr="00352EFF" w:rsidRDefault="003A2B43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2016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29783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3,594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4B2F3E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02F46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0.10%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02616E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3,080.61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079FF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36.2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351EF4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1.20%</w:t>
                  </w:r>
                </w:p>
              </w:tc>
            </w:tr>
            <w:tr w:rsidR="003A2B43" w:rsidRPr="00352EFF" w14:paraId="57726924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0E6E5B" w14:textId="77777777" w:rsidR="003A2B43" w:rsidRPr="00352EFF" w:rsidRDefault="003A2B43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2017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C95F7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3,593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01F6B4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62264A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0.00%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63C8FD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3,062.33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225F28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-18.28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A98C26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-0.60%</w:t>
                  </w:r>
                </w:p>
              </w:tc>
            </w:tr>
            <w:tr w:rsidR="003A2B43" w:rsidRPr="00352EFF" w14:paraId="5F101F26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87407" w14:textId="77777777" w:rsidR="003A2B43" w:rsidRPr="00352EFF" w:rsidRDefault="003A2B43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2018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C8043D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3,599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576DE1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1F22C9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0.20%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864EE3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3,113.91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8D3A73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51.58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081B66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1.70%</w:t>
                  </w:r>
                </w:p>
              </w:tc>
            </w:tr>
            <w:tr w:rsidR="003A2B43" w:rsidRPr="00352EFF" w14:paraId="334F4205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87E1D4" w14:textId="77777777" w:rsidR="003A2B43" w:rsidRPr="00352EFF" w:rsidRDefault="003A2B43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2019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EF4081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3,735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8A816E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136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9460BA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3.80%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4FC4DD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3,215.79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4057E2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101.88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784DD8" w14:textId="77777777" w:rsidR="003A2B43" w:rsidRDefault="003A2B43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3.30%</w:t>
                  </w:r>
                </w:p>
              </w:tc>
            </w:tr>
            <w:tr w:rsidR="00370061" w:rsidRPr="00352EFF" w14:paraId="69053282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A47889" w14:textId="77777777" w:rsidR="00370061" w:rsidRPr="00352EFF" w:rsidRDefault="00370061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2020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B0D484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3,973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CD5C75C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238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04E0B7B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6.37%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1B5FA7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3,433.67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3147B6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217.88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398D3E2" w14:textId="77777777" w:rsidR="00370061" w:rsidRDefault="0037006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6.78%</w:t>
                  </w:r>
                </w:p>
              </w:tc>
            </w:tr>
            <w:tr w:rsidR="00973F1B" w:rsidRPr="00352EFF" w14:paraId="4AB82449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76F81EB" w14:textId="77777777" w:rsidR="00973F1B" w:rsidRDefault="00973F1B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2021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D7BBEF" w14:textId="77777777" w:rsidR="00973F1B" w:rsidRDefault="00730DB7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4,043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519610" w14:textId="77777777" w:rsidR="00973F1B" w:rsidRDefault="00730DB7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70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F6E6A4" w14:textId="77777777" w:rsidR="00973F1B" w:rsidRDefault="00730DB7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1.76%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FADAC0" w14:textId="77777777" w:rsidR="00973F1B" w:rsidRDefault="00730DB7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</w:t>
                  </w:r>
                  <w:r w:rsidR="00802761">
                    <w:rPr>
                      <w:rFonts w:ascii="Calibri" w:hAnsi="Calibri"/>
                      <w:color w:val="000000"/>
                    </w:rPr>
                    <w:t>,</w:t>
                  </w:r>
                  <w:r>
                    <w:rPr>
                      <w:rFonts w:ascii="Calibri" w:hAnsi="Calibri"/>
                      <w:color w:val="000000"/>
                    </w:rPr>
                    <w:t>539.37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A6C1EF" w14:textId="77777777" w:rsidR="00973F1B" w:rsidRDefault="00FE51B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105.70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6A9A8F" w14:textId="77777777" w:rsidR="00973F1B" w:rsidRDefault="00FE51B1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3.08%</w:t>
                  </w:r>
                </w:p>
              </w:tc>
            </w:tr>
            <w:tr w:rsidR="00972E7A" w:rsidRPr="00352EFF" w14:paraId="248F0DF4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E6DA98E" w14:textId="1FDFC394" w:rsidR="00972E7A" w:rsidRDefault="00972E7A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2022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0E7199" w14:textId="78051EB5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3,960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28B938" w14:textId="1FDD45AE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-83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5693D9" w14:textId="36087BFE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-2.05%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72EB5D" w14:textId="300B45C1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3,484.73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BC081B" w14:textId="66E1796D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-54.64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8FCBED" w14:textId="09E25E53" w:rsidR="00972E7A" w:rsidRDefault="00972E7A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-1.54%</w:t>
                  </w:r>
                </w:p>
              </w:tc>
            </w:tr>
            <w:tr w:rsidR="00EC3C2E" w:rsidRPr="00352EFF" w14:paraId="0DEEBAAB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9EEFA1" w14:textId="4F9DDB2A" w:rsidR="00EC3C2E" w:rsidRDefault="00EC3C2E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2023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5BA9A9" w14:textId="46C729EF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4,105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6889EBF" w14:textId="363DF051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145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3EE406" w14:textId="6E2544D7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3.66%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BE7D77" w14:textId="323B5E94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3,650.57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3E01C6A" w14:textId="60B3BCAD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165.84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AEF4B5" w14:textId="4C856640" w:rsidR="00EC3C2E" w:rsidRDefault="00EC3C2E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4.76%</w:t>
                  </w:r>
                </w:p>
              </w:tc>
            </w:tr>
            <w:tr w:rsidR="00004E2F" w:rsidRPr="00352EFF" w14:paraId="6A1C7C5A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977C10" w14:textId="1798EC4C" w:rsidR="00004E2F" w:rsidRDefault="00004E2F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2024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7F3C85" w14:textId="01DDA9DA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4,323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417178" w14:textId="6F660D9E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218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6AAB015" w14:textId="4C85F518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5.31%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31E4E8" w14:textId="204452FB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3,848.95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E27527F" w14:textId="353B8312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198.38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594D782" w14:textId="3138FF0E" w:rsidR="00004E2F" w:rsidRDefault="00004E2F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5.43%</w:t>
                  </w:r>
                </w:p>
              </w:tc>
            </w:tr>
            <w:tr w:rsidR="00D25BDB" w:rsidRPr="00352EFF" w14:paraId="14D6B7F8" w14:textId="77777777" w:rsidTr="00370061">
              <w:trPr>
                <w:trHeight w:val="300"/>
              </w:trPr>
              <w:tc>
                <w:tcPr>
                  <w:tcW w:w="20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DC0E2D2" w14:textId="370AA4A4" w:rsidR="00D25BDB" w:rsidRDefault="00A67E36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2025</w:t>
                  </w:r>
                </w:p>
              </w:tc>
              <w:tc>
                <w:tcPr>
                  <w:tcW w:w="1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BCA6469" w14:textId="72A827DE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4,635</w:t>
                  </w:r>
                </w:p>
              </w:tc>
              <w:tc>
                <w:tcPr>
                  <w:tcW w:w="21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7AECFA" w14:textId="21C0B591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312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E2350C" w14:textId="53E726AF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7.22%</w:t>
                  </w:r>
                </w:p>
              </w:tc>
              <w:tc>
                <w:tcPr>
                  <w:tcW w:w="1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19DB83" w14:textId="114397E2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4,150.25</w:t>
                  </w:r>
                </w:p>
              </w:tc>
              <w:tc>
                <w:tcPr>
                  <w:tcW w:w="209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06F561" w14:textId="2871DC5E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301.31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A0033FA" w14:textId="10DEC772" w:rsidR="00D25BDB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7.83%</w:t>
                  </w:r>
                </w:p>
              </w:tc>
            </w:tr>
            <w:tr w:rsidR="003A2B43" w:rsidRPr="00352EFF" w14:paraId="709BB43F" w14:textId="77777777" w:rsidTr="003A2B43">
              <w:trPr>
                <w:trHeight w:val="300"/>
              </w:trPr>
              <w:tc>
                <w:tcPr>
                  <w:tcW w:w="60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54D12D" w14:textId="77777777" w:rsidR="003A2B43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&amp; GFRS combined Headcount: </w:t>
                  </w:r>
                </w:p>
                <w:p w14:paraId="71E957DA" w14:textId="2339BD2A" w:rsidR="003A2B43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</w:t>
                  </w:r>
                  <w:r w:rsidR="00FD153D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DC425B" w14:textId="6DB8CF50" w:rsidR="003A2B43" w:rsidRPr="003A2B43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1,043</w:t>
                  </w:r>
                </w:p>
              </w:tc>
              <w:tc>
                <w:tcPr>
                  <w:tcW w:w="35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A4FC9" w14:textId="77777777" w:rsidR="003A2B43" w:rsidRPr="00972E7A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&amp; GFRS combined FTE: </w:t>
                  </w:r>
                </w:p>
                <w:p w14:paraId="3B03AABC" w14:textId="77777777" w:rsidR="003A2B43" w:rsidRPr="00972E7A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="00B5128D"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2015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B9CA89" w14:textId="7A0F031A" w:rsidR="003A2B43" w:rsidRPr="00352EFF" w:rsidRDefault="00A67E36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1,105.85</w:t>
                  </w:r>
                </w:p>
              </w:tc>
            </w:tr>
            <w:tr w:rsidR="003A2B43" w:rsidRPr="00352EFF" w14:paraId="1EED26E0" w14:textId="77777777" w:rsidTr="003A2B43">
              <w:trPr>
                <w:trHeight w:val="300"/>
              </w:trPr>
              <w:tc>
                <w:tcPr>
                  <w:tcW w:w="60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5EC3DC" w14:textId="77777777" w:rsidR="003A2B43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&amp; 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GFRS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 combined </w:t>
                  </w: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Headcount: </w:t>
                  </w:r>
                </w:p>
                <w:p w14:paraId="6E8C82D8" w14:textId="217A7A26" w:rsidR="003A2B43" w:rsidRPr="00352EFF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352EFF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Total Percentage </w:t>
                  </w:r>
                  <w:r w:rsidR="00A74583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Change </w:t>
                  </w:r>
                  <w:r w:rsidR="00A74583"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since April 20</w:t>
                  </w:r>
                  <w:r w:rsidR="00FD153D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15</w:t>
                  </w:r>
                </w:p>
              </w:tc>
              <w:tc>
                <w:tcPr>
                  <w:tcW w:w="2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8493F4" w14:textId="031C633C" w:rsidR="003A2B43" w:rsidRPr="003A2B43" w:rsidRDefault="00A67E36" w:rsidP="00370061">
                  <w:pPr>
                    <w:spacing w:before="60" w:after="60"/>
                    <w:jc w:val="center"/>
                    <w:rPr>
                      <w:rFonts w:ascii="Calibri" w:hAnsi="Calibri"/>
                      <w:color w:val="000000"/>
                    </w:rPr>
                  </w:pPr>
                  <w:r>
                    <w:rPr>
                      <w:rFonts w:ascii="Calibri" w:hAnsi="Calibri"/>
                      <w:color w:val="000000"/>
                    </w:rPr>
                    <w:t>29.04</w:t>
                  </w:r>
                  <w:r w:rsidR="00FD153D">
                    <w:rPr>
                      <w:rFonts w:ascii="Calibri" w:hAnsi="Calibri"/>
                      <w:color w:val="000000"/>
                    </w:rPr>
                    <w:t>%</w:t>
                  </w:r>
                </w:p>
              </w:tc>
              <w:tc>
                <w:tcPr>
                  <w:tcW w:w="35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2CB84E" w14:textId="77777777" w:rsidR="003A2B43" w:rsidRPr="00972E7A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 xml:space="preserve">GCC &amp; GFRS combined FTE: </w:t>
                  </w:r>
                </w:p>
                <w:p w14:paraId="1AA758D0" w14:textId="77777777" w:rsidR="003A2B43" w:rsidRPr="00972E7A" w:rsidRDefault="003A2B43" w:rsidP="00DA74B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T</w:t>
                  </w:r>
                  <w:r w:rsidR="00B5128D" w:rsidRPr="00972E7A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otal change since 01 April 2015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6DA30" w14:textId="28ADB6F3" w:rsidR="003A2B43" w:rsidRPr="00352EFF" w:rsidRDefault="00A67E36" w:rsidP="00370061">
                  <w:pPr>
                    <w:spacing w:before="60" w:after="6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36.32</w:t>
                  </w:r>
                  <w:r w:rsidR="003A2B43">
                    <w:rPr>
                      <w:rFonts w:ascii="Calibri" w:eastAsia="Times New Roman" w:hAnsi="Calibri" w:cs="Times New Roman"/>
                      <w:color w:val="000000"/>
                      <w:lang w:eastAsia="en-GB"/>
                    </w:rPr>
                    <w:t>%</w:t>
                  </w:r>
                </w:p>
              </w:tc>
            </w:tr>
          </w:tbl>
          <w:p w14:paraId="0AF92523" w14:textId="77777777" w:rsidR="003A2B43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  <w:p w14:paraId="13126751" w14:textId="77777777" w:rsidR="003A2B43" w:rsidRPr="00352EFF" w:rsidRDefault="003A2B43" w:rsidP="003A2B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0A2F5B56" w14:textId="77777777" w:rsidR="00C32C67" w:rsidRDefault="00C32C67" w:rsidP="00650F44"/>
    <w:sectPr w:rsidR="00C32C67" w:rsidSect="00290DFA">
      <w:pgSz w:w="16838" w:h="11906" w:orient="landscape"/>
      <w:pgMar w:top="851" w:right="1440" w:bottom="567" w:left="144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735D3" w14:textId="77777777" w:rsidR="001642B2" w:rsidRDefault="001642B2" w:rsidP="00CC1921">
      <w:pPr>
        <w:spacing w:after="0" w:line="240" w:lineRule="auto"/>
      </w:pPr>
      <w:r>
        <w:separator/>
      </w:r>
    </w:p>
  </w:endnote>
  <w:endnote w:type="continuationSeparator" w:id="0">
    <w:p w14:paraId="2562EA84" w14:textId="77777777" w:rsidR="001642B2" w:rsidRDefault="001642B2" w:rsidP="00CC1921">
      <w:pPr>
        <w:spacing w:after="0" w:line="240" w:lineRule="auto"/>
      </w:pPr>
      <w:r>
        <w:continuationSeparator/>
      </w:r>
    </w:p>
  </w:endnote>
  <w:endnote w:type="continuationNotice" w:id="1">
    <w:p w14:paraId="21195FE7" w14:textId="77777777" w:rsidR="004D4E0B" w:rsidRDefault="004D4E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3F21B" w14:textId="77777777" w:rsidR="001642B2" w:rsidRDefault="001642B2" w:rsidP="00CC1921">
      <w:pPr>
        <w:spacing w:after="0" w:line="240" w:lineRule="auto"/>
      </w:pPr>
      <w:r>
        <w:separator/>
      </w:r>
    </w:p>
  </w:footnote>
  <w:footnote w:type="continuationSeparator" w:id="0">
    <w:p w14:paraId="60569321" w14:textId="77777777" w:rsidR="001642B2" w:rsidRDefault="001642B2" w:rsidP="00CC1921">
      <w:pPr>
        <w:spacing w:after="0" w:line="240" w:lineRule="auto"/>
      </w:pPr>
      <w:r>
        <w:continuationSeparator/>
      </w:r>
    </w:p>
  </w:footnote>
  <w:footnote w:type="continuationNotice" w:id="1">
    <w:p w14:paraId="29D7FAAA" w14:textId="77777777" w:rsidR="004D4E0B" w:rsidRDefault="004D4E0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FF"/>
    <w:rsid w:val="00004E2F"/>
    <w:rsid w:val="000607CB"/>
    <w:rsid w:val="000B0BE3"/>
    <w:rsid w:val="001642B2"/>
    <w:rsid w:val="001D04A3"/>
    <w:rsid w:val="001E49EA"/>
    <w:rsid w:val="00287B0F"/>
    <w:rsid w:val="00290DFA"/>
    <w:rsid w:val="00297C62"/>
    <w:rsid w:val="002A73B4"/>
    <w:rsid w:val="002D0704"/>
    <w:rsid w:val="00352EFF"/>
    <w:rsid w:val="003676F8"/>
    <w:rsid w:val="00370061"/>
    <w:rsid w:val="003A2B43"/>
    <w:rsid w:val="004466F7"/>
    <w:rsid w:val="004A17E4"/>
    <w:rsid w:val="004B01E2"/>
    <w:rsid w:val="004D4E0B"/>
    <w:rsid w:val="005A13CC"/>
    <w:rsid w:val="005A3EA5"/>
    <w:rsid w:val="00650F44"/>
    <w:rsid w:val="0065241F"/>
    <w:rsid w:val="006542D6"/>
    <w:rsid w:val="00675467"/>
    <w:rsid w:val="00687B41"/>
    <w:rsid w:val="006B60FD"/>
    <w:rsid w:val="006C661F"/>
    <w:rsid w:val="006F07F3"/>
    <w:rsid w:val="00730DB7"/>
    <w:rsid w:val="007D5740"/>
    <w:rsid w:val="007D7F20"/>
    <w:rsid w:val="00802761"/>
    <w:rsid w:val="0080459E"/>
    <w:rsid w:val="008A17BD"/>
    <w:rsid w:val="008E6D0A"/>
    <w:rsid w:val="00943D6A"/>
    <w:rsid w:val="00972E7A"/>
    <w:rsid w:val="00973F1B"/>
    <w:rsid w:val="009A2E1F"/>
    <w:rsid w:val="009A3064"/>
    <w:rsid w:val="009A3E69"/>
    <w:rsid w:val="00A024B8"/>
    <w:rsid w:val="00A67E36"/>
    <w:rsid w:val="00A74583"/>
    <w:rsid w:val="00B5128D"/>
    <w:rsid w:val="00C32C67"/>
    <w:rsid w:val="00C61CB9"/>
    <w:rsid w:val="00C64C62"/>
    <w:rsid w:val="00C804BC"/>
    <w:rsid w:val="00CC1921"/>
    <w:rsid w:val="00CE1A84"/>
    <w:rsid w:val="00CF5FFB"/>
    <w:rsid w:val="00D25BDB"/>
    <w:rsid w:val="00E12633"/>
    <w:rsid w:val="00EA72E3"/>
    <w:rsid w:val="00EC3C2E"/>
    <w:rsid w:val="00F02BA3"/>
    <w:rsid w:val="00F15740"/>
    <w:rsid w:val="00FD153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E4600"/>
  <w15:docId w15:val="{715C6B40-5681-411E-8DB7-14275B065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921"/>
  </w:style>
  <w:style w:type="paragraph" w:styleId="Footer">
    <w:name w:val="footer"/>
    <w:basedOn w:val="Normal"/>
    <w:link w:val="FooterChar"/>
    <w:uiPriority w:val="99"/>
    <w:unhideWhenUsed/>
    <w:rsid w:val="00CC1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523751B930342AB44646A6119A490" ma:contentTypeVersion="6" ma:contentTypeDescription="Create a new document." ma:contentTypeScope="" ma:versionID="4014046d6da9931483bd7c4e52926404">
  <xsd:schema xmlns:xsd="http://www.w3.org/2001/XMLSchema" xmlns:xs="http://www.w3.org/2001/XMLSchema" xmlns:p="http://schemas.microsoft.com/office/2006/metadata/properties" xmlns:ns2="813272ec-05e1-4f2c-bf50-9b8b11312a5a" xmlns:ns3="280c5688-4077-41e0-99d8-2ccb2c68e2e2" targetNamespace="http://schemas.microsoft.com/office/2006/metadata/properties" ma:root="true" ma:fieldsID="7702e3b242877b02331d09a766b95a77" ns2:_="" ns3:_="">
    <xsd:import namespace="813272ec-05e1-4f2c-bf50-9b8b11312a5a"/>
    <xsd:import namespace="280c5688-4077-41e0-99d8-2ccb2c68e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272ec-05e1-4f2c-bf50-9b8b11312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c5688-4077-41e0-99d8-2ccb2c68e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6D2A1-D17E-48A9-95EE-EEF6002E2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6C3AD7-CE26-432E-B159-59AA435B4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1CEE0-48BC-42D7-A6FF-ACF8954E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3272ec-05e1-4f2c-bf50-9b8b11312a5a"/>
    <ds:schemaRef ds:uri="280c5688-4077-41e0-99d8-2ccb2c68e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LUMLEY, Lucinda</dc:creator>
  <cp:lastModifiedBy>CLARKE, Michele</cp:lastModifiedBy>
  <cp:revision>8</cp:revision>
  <dcterms:created xsi:type="dcterms:W3CDTF">2025-05-06T14:34:00Z</dcterms:created>
  <dcterms:modified xsi:type="dcterms:W3CDTF">2025-05-06T14:47:00Z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0x0101003D6523751B930342AB44646A6119A490</vt:lpwstr>
  </property>
  <property fmtid="{D5CDD505-2E9C-101B-9397-08002B2CF9AE}" pid="3" name="Order">
    <vt:r8>1344600</vt:r8>
  </property>
  <property fmtid="{D5CDD505-2E9C-101B-9397-08002B2CF9AE}" pid="4" name="MSIP_Label_7d404578-2d81-4a23-86f9-58870b7211f0_Enabled">
    <vt:lpwstr>true</vt:lpwstr>
  </property>
  <property fmtid="{D5CDD505-2E9C-101B-9397-08002B2CF9AE}" pid="5" name="MSIP_Label_7d404578-2d81-4a23-86f9-58870b7211f0_SetDate">
    <vt:lpwstr>2024-04-24T14:01:46Z</vt:lpwstr>
  </property>
  <property fmtid="{D5CDD505-2E9C-101B-9397-08002B2CF9AE}" pid="6" name="MSIP_Label_7d404578-2d81-4a23-86f9-58870b7211f0_Method">
    <vt:lpwstr>Standard</vt:lpwstr>
  </property>
  <property fmtid="{D5CDD505-2E9C-101B-9397-08002B2CF9AE}" pid="7" name="MSIP_Label_7d404578-2d81-4a23-86f9-58870b7211f0_Name">
    <vt:lpwstr>Official - Contains Personal Data</vt:lpwstr>
  </property>
  <property fmtid="{D5CDD505-2E9C-101B-9397-08002B2CF9AE}" pid="8" name="MSIP_Label_7d404578-2d81-4a23-86f9-58870b7211f0_SiteId">
    <vt:lpwstr>5faec754-64e3-4014-9bcc-e72fc73ba312</vt:lpwstr>
  </property>
  <property fmtid="{D5CDD505-2E9C-101B-9397-08002B2CF9AE}" pid="9" name="MSIP_Label_7d404578-2d81-4a23-86f9-58870b7211f0_ActionId">
    <vt:lpwstr>5e0315e5-facc-4eba-9f78-e377a731c517</vt:lpwstr>
  </property>
  <property fmtid="{D5CDD505-2E9C-101B-9397-08002B2CF9AE}" pid="10" name="MSIP_Label_7d404578-2d81-4a23-86f9-58870b7211f0_ContentBits">
    <vt:lpwstr>0</vt:lpwstr>
  </property>
</Properties>
</file>