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02" w:rsidRDefault="001D4402" w:rsidP="0020209E">
      <w:pPr>
        <w:pStyle w:val="NoSpacing"/>
      </w:pPr>
      <w:r>
        <w:rPr>
          <w:noProof/>
          <w:lang w:eastAsia="en-GB"/>
        </w:rPr>
        <w:drawing>
          <wp:inline distT="0" distB="0" distL="0" distR="0">
            <wp:extent cx="476250" cy="342900"/>
            <wp:effectExtent l="19050" t="0" r="0" b="0"/>
            <wp:docPr id="1"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PSP_logo_wording_thumbnail_.gif"/>
                    <pic:cNvPicPr/>
                  </pic:nvPicPr>
                  <pic:blipFill>
                    <a:blip r:embed="rId9" cstate="print"/>
                    <a:stretch>
                      <a:fillRect/>
                    </a:stretch>
                  </pic:blipFill>
                  <pic:spPr>
                    <a:xfrm>
                      <a:off x="0" y="0"/>
                      <a:ext cx="476250" cy="342900"/>
                    </a:xfrm>
                    <a:prstGeom prst="rect">
                      <a:avLst/>
                    </a:prstGeom>
                  </pic:spPr>
                </pic:pic>
              </a:graphicData>
            </a:graphic>
          </wp:inline>
        </w:drawing>
      </w:r>
      <w:bookmarkStart w:id="0" w:name="_GoBack"/>
      <w:bookmarkEnd w:id="0"/>
    </w:p>
    <w:p w:rsidR="001D4402" w:rsidRDefault="001D4402" w:rsidP="0018484F">
      <w:pPr>
        <w:pStyle w:val="NoSpacing"/>
        <w:jc w:val="center"/>
      </w:pPr>
    </w:p>
    <w:p w:rsidR="00D303F9" w:rsidRDefault="00123A9A" w:rsidP="0018484F">
      <w:pPr>
        <w:pStyle w:val="NoSpacing"/>
        <w:jc w:val="center"/>
      </w:pPr>
      <w:r>
        <w:t xml:space="preserve">Gloucestershire Children’s Partnership </w:t>
      </w:r>
      <w:r w:rsidR="00043FFC">
        <w:t>B</w:t>
      </w:r>
      <w:r>
        <w:t xml:space="preserve">oard </w:t>
      </w:r>
      <w:r w:rsidR="00043FFC">
        <w:t>M</w:t>
      </w:r>
      <w:r>
        <w:t>eeting</w:t>
      </w:r>
    </w:p>
    <w:p w:rsidR="00123A9A" w:rsidRDefault="00307DA4" w:rsidP="0018484F">
      <w:pPr>
        <w:pStyle w:val="NoSpacing"/>
        <w:jc w:val="center"/>
      </w:pPr>
      <w:r>
        <w:t>Tuesday</w:t>
      </w:r>
      <w:r w:rsidR="00522413">
        <w:t xml:space="preserve"> 1</w:t>
      </w:r>
      <w:r w:rsidR="00617ED2">
        <w:t>9</w:t>
      </w:r>
      <w:r w:rsidR="00522413" w:rsidRPr="00522413">
        <w:rPr>
          <w:vertAlign w:val="superscript"/>
        </w:rPr>
        <w:t>th</w:t>
      </w:r>
      <w:r w:rsidR="00522413">
        <w:t xml:space="preserve"> </w:t>
      </w:r>
      <w:r w:rsidR="00617ED2">
        <w:t>November</w:t>
      </w:r>
      <w:r w:rsidR="00522413">
        <w:t xml:space="preserve"> 2015</w:t>
      </w:r>
      <w:r w:rsidR="00043FFC">
        <w:t xml:space="preserve">, 10:00 – 12:00pm, </w:t>
      </w:r>
      <w:r w:rsidR="00522413">
        <w:t>Cabinet Suite</w:t>
      </w:r>
      <w:r w:rsidR="00683714">
        <w:t xml:space="preserve">, </w:t>
      </w:r>
      <w:r w:rsidR="00123A9A">
        <w:t xml:space="preserve">Shire </w:t>
      </w:r>
      <w:r w:rsidR="00043FFC">
        <w:t>H</w:t>
      </w:r>
      <w:r w:rsidR="00123A9A">
        <w:t>all</w:t>
      </w:r>
    </w:p>
    <w:p w:rsidR="00043FFC" w:rsidRDefault="00043FFC" w:rsidP="0018484F">
      <w:pPr>
        <w:pStyle w:val="NoSpacing"/>
        <w:jc w:val="center"/>
      </w:pPr>
    </w:p>
    <w:p w:rsidR="00123A9A" w:rsidRDefault="00123A9A" w:rsidP="0018484F">
      <w:pPr>
        <w:pStyle w:val="NoSpacing"/>
        <w:jc w:val="center"/>
      </w:pPr>
      <w:r>
        <w:t>Minutes of the meeting</w:t>
      </w:r>
    </w:p>
    <w:p w:rsidR="00251963" w:rsidRDefault="00251963" w:rsidP="0018484F">
      <w:pPr>
        <w:pStyle w:val="NoSpacing"/>
        <w:jc w:val="center"/>
      </w:pPr>
    </w:p>
    <w:p w:rsidR="006B0496" w:rsidRDefault="005C074A" w:rsidP="00683714">
      <w:pPr>
        <w:pStyle w:val="NoSpacing"/>
      </w:pPr>
      <w:r>
        <w:rPr>
          <w:b/>
        </w:rPr>
        <w:t>Present</w:t>
      </w:r>
      <w:r w:rsidR="00251963" w:rsidRPr="00683714">
        <w:rPr>
          <w:b/>
        </w:rPr>
        <w:t>:</w:t>
      </w:r>
      <w:r>
        <w:t xml:space="preserve"> </w:t>
      </w:r>
    </w:p>
    <w:tbl>
      <w:tblPr>
        <w:tblStyle w:val="TableGrid"/>
        <w:tblW w:w="0" w:type="auto"/>
        <w:tblInd w:w="-252" w:type="dxa"/>
        <w:tblLook w:val="04A0" w:firstRow="1" w:lastRow="0" w:firstColumn="1" w:lastColumn="0" w:noHBand="0" w:noVBand="1"/>
      </w:tblPr>
      <w:tblGrid>
        <w:gridCol w:w="2345"/>
        <w:gridCol w:w="6237"/>
        <w:gridCol w:w="912"/>
      </w:tblGrid>
      <w:tr w:rsidR="00307DA4" w:rsidRPr="004005C1" w:rsidTr="002A71E7">
        <w:tc>
          <w:tcPr>
            <w:tcW w:w="2345" w:type="dxa"/>
          </w:tcPr>
          <w:p w:rsidR="00307DA4" w:rsidRPr="004005C1" w:rsidRDefault="00307DA4" w:rsidP="00307DA4">
            <w:r w:rsidRPr="004005C1">
              <w:t>Councillor Paul M</w:t>
            </w:r>
            <w:r w:rsidRPr="004005C1">
              <w:rPr>
                <w:vertAlign w:val="superscript"/>
              </w:rPr>
              <w:t>c</w:t>
            </w:r>
            <w:r w:rsidRPr="004005C1">
              <w:t xml:space="preserve">Lain </w:t>
            </w:r>
            <w:r w:rsidR="00D33E8D">
              <w:t>(Chair)</w:t>
            </w:r>
          </w:p>
        </w:tc>
        <w:tc>
          <w:tcPr>
            <w:tcW w:w="6237" w:type="dxa"/>
          </w:tcPr>
          <w:p w:rsidR="00307DA4" w:rsidRPr="004005C1" w:rsidRDefault="00307DA4" w:rsidP="00307DA4">
            <w:r w:rsidRPr="004005C1">
              <w:t>Cabinet Lead for Children and Families, GCC</w:t>
            </w:r>
          </w:p>
        </w:tc>
        <w:tc>
          <w:tcPr>
            <w:tcW w:w="912" w:type="dxa"/>
          </w:tcPr>
          <w:p w:rsidR="00307DA4" w:rsidRPr="004005C1" w:rsidRDefault="0078225B" w:rsidP="00307DA4">
            <w:proofErr w:type="spellStart"/>
            <w:r>
              <w:t>PMcL</w:t>
            </w:r>
            <w:proofErr w:type="spellEnd"/>
          </w:p>
        </w:tc>
      </w:tr>
      <w:tr w:rsidR="00E05F1F" w:rsidRPr="004005C1" w:rsidTr="002A71E7">
        <w:tc>
          <w:tcPr>
            <w:tcW w:w="2345" w:type="dxa"/>
          </w:tcPr>
          <w:p w:rsidR="00E05F1F" w:rsidRPr="004005C1" w:rsidRDefault="00E05F1F" w:rsidP="00C35217">
            <w:r>
              <w:t>Det. Sup. Simon Atkinson</w:t>
            </w:r>
          </w:p>
        </w:tc>
        <w:tc>
          <w:tcPr>
            <w:tcW w:w="6237" w:type="dxa"/>
          </w:tcPr>
          <w:p w:rsidR="00E05F1F" w:rsidRPr="004005C1" w:rsidRDefault="00E05F1F" w:rsidP="00C35217">
            <w:r>
              <w:t xml:space="preserve">Detective </w:t>
            </w:r>
            <w:r w:rsidR="00C90EEB">
              <w:t>Superintendent</w:t>
            </w:r>
            <w:r>
              <w:t>, Gloucestershire Constabulary</w:t>
            </w:r>
          </w:p>
        </w:tc>
        <w:tc>
          <w:tcPr>
            <w:tcW w:w="912" w:type="dxa"/>
          </w:tcPr>
          <w:p w:rsidR="00E05F1F" w:rsidRPr="004005C1" w:rsidRDefault="00E05F1F" w:rsidP="00C35217">
            <w:r>
              <w:t>SA</w:t>
            </w:r>
          </w:p>
        </w:tc>
      </w:tr>
      <w:tr w:rsidR="00EE6E5A" w:rsidRPr="004005C1" w:rsidTr="002A71E7">
        <w:tc>
          <w:tcPr>
            <w:tcW w:w="2345" w:type="dxa"/>
          </w:tcPr>
          <w:p w:rsidR="00EE6E5A" w:rsidRPr="004005C1" w:rsidRDefault="00307DA4" w:rsidP="00043FFC">
            <w:r>
              <w:t>Sarah Batten</w:t>
            </w:r>
          </w:p>
        </w:tc>
        <w:tc>
          <w:tcPr>
            <w:tcW w:w="6237" w:type="dxa"/>
          </w:tcPr>
          <w:p w:rsidR="00EE6E5A" w:rsidRPr="004005C1" w:rsidRDefault="00307DA4" w:rsidP="00043FFC">
            <w:r>
              <w:t xml:space="preserve">Service Director, </w:t>
            </w:r>
            <w:r w:rsidR="00682B3D">
              <w:t xml:space="preserve">CYPS, </w:t>
            </w:r>
            <w:r>
              <w:t>2g</w:t>
            </w:r>
            <w:r w:rsidR="0020209E">
              <w:t>ether</w:t>
            </w:r>
            <w:r w:rsidR="00682B3D">
              <w:t>FT</w:t>
            </w:r>
          </w:p>
        </w:tc>
        <w:tc>
          <w:tcPr>
            <w:tcW w:w="912" w:type="dxa"/>
          </w:tcPr>
          <w:p w:rsidR="00EE6E5A" w:rsidRPr="004005C1" w:rsidRDefault="00307DA4" w:rsidP="00043FFC">
            <w:proofErr w:type="spellStart"/>
            <w:r>
              <w:t>SBa</w:t>
            </w:r>
            <w:proofErr w:type="spellEnd"/>
          </w:p>
        </w:tc>
      </w:tr>
      <w:tr w:rsidR="00E05F1F" w:rsidRPr="004005C1" w:rsidTr="002A71E7">
        <w:tc>
          <w:tcPr>
            <w:tcW w:w="2345" w:type="dxa"/>
          </w:tcPr>
          <w:p w:rsidR="00E05F1F" w:rsidRPr="004005C1" w:rsidRDefault="00E05F1F" w:rsidP="00C35217">
            <w:r>
              <w:t>Jane Cummins</w:t>
            </w:r>
          </w:p>
        </w:tc>
        <w:tc>
          <w:tcPr>
            <w:tcW w:w="6237" w:type="dxa"/>
          </w:tcPr>
          <w:p w:rsidR="00E05F1F" w:rsidRPr="004005C1" w:rsidRDefault="00E05F1F" w:rsidP="00C35217">
            <w:r w:rsidRPr="004005C1">
              <w:t>Headteacher, Battledown Centre for Children and Families</w:t>
            </w:r>
            <w:r>
              <w:t xml:space="preserve"> and Headteacher, Gloucestershire Association of Special School Head teachers</w:t>
            </w:r>
          </w:p>
        </w:tc>
        <w:tc>
          <w:tcPr>
            <w:tcW w:w="912" w:type="dxa"/>
          </w:tcPr>
          <w:p w:rsidR="00E05F1F" w:rsidRPr="004005C1" w:rsidRDefault="00E05F1F" w:rsidP="00C35217">
            <w:r>
              <w:t>JC</w:t>
            </w:r>
          </w:p>
        </w:tc>
      </w:tr>
      <w:tr w:rsidR="00B42226" w:rsidRPr="004005C1" w:rsidTr="002A71E7">
        <w:tc>
          <w:tcPr>
            <w:tcW w:w="2345" w:type="dxa"/>
          </w:tcPr>
          <w:p w:rsidR="00B42226" w:rsidRPr="004005C1" w:rsidRDefault="00B42226" w:rsidP="00C35217">
            <w:r w:rsidRPr="004005C1">
              <w:t>Mike Dawson</w:t>
            </w:r>
          </w:p>
        </w:tc>
        <w:tc>
          <w:tcPr>
            <w:tcW w:w="6237" w:type="dxa"/>
          </w:tcPr>
          <w:p w:rsidR="00B42226" w:rsidRPr="004005C1" w:rsidRDefault="00B42226" w:rsidP="00C35217">
            <w:r w:rsidRPr="004005C1">
              <w:t>Chief Executive, Tewkesbury Borough Council</w:t>
            </w:r>
          </w:p>
        </w:tc>
        <w:tc>
          <w:tcPr>
            <w:tcW w:w="912" w:type="dxa"/>
          </w:tcPr>
          <w:p w:rsidR="00B42226" w:rsidRPr="004005C1" w:rsidRDefault="00B42226" w:rsidP="00C35217">
            <w:r>
              <w:t>MD</w:t>
            </w:r>
          </w:p>
        </w:tc>
      </w:tr>
      <w:tr w:rsidR="00617ED2" w:rsidRPr="004005C1" w:rsidTr="002A71E7">
        <w:tc>
          <w:tcPr>
            <w:tcW w:w="2345" w:type="dxa"/>
          </w:tcPr>
          <w:p w:rsidR="00617ED2" w:rsidRPr="004005C1" w:rsidRDefault="00617ED2" w:rsidP="00C35217">
            <w:r>
              <w:t>Kim Forey</w:t>
            </w:r>
          </w:p>
        </w:tc>
        <w:tc>
          <w:tcPr>
            <w:tcW w:w="6237" w:type="dxa"/>
          </w:tcPr>
          <w:p w:rsidR="00617ED2" w:rsidRPr="004005C1" w:rsidRDefault="00617ED2" w:rsidP="00C35217">
            <w:r>
              <w:t>Associate Director Partnerships, Joint Commissioning and Community Services</w:t>
            </w:r>
          </w:p>
        </w:tc>
        <w:tc>
          <w:tcPr>
            <w:tcW w:w="912" w:type="dxa"/>
          </w:tcPr>
          <w:p w:rsidR="00617ED2" w:rsidRDefault="00617ED2" w:rsidP="00C35217">
            <w:r>
              <w:t>KF</w:t>
            </w:r>
          </w:p>
        </w:tc>
      </w:tr>
      <w:tr w:rsidR="00617ED2" w:rsidRPr="004005C1" w:rsidTr="002A71E7">
        <w:tc>
          <w:tcPr>
            <w:tcW w:w="2345" w:type="dxa"/>
          </w:tcPr>
          <w:p w:rsidR="00617ED2" w:rsidRPr="004005C1" w:rsidRDefault="00617ED2" w:rsidP="00EB2B3E">
            <w:r w:rsidRPr="004005C1">
              <w:t>Jo Grills</w:t>
            </w:r>
          </w:p>
        </w:tc>
        <w:tc>
          <w:tcPr>
            <w:tcW w:w="6237" w:type="dxa"/>
          </w:tcPr>
          <w:p w:rsidR="00617ED2" w:rsidRPr="004005C1" w:rsidRDefault="00617ED2" w:rsidP="00EB2B3E">
            <w:r w:rsidRPr="004005C1">
              <w:t>Operations Director, Education, Learning and Libraries, GCC</w:t>
            </w:r>
          </w:p>
        </w:tc>
        <w:tc>
          <w:tcPr>
            <w:tcW w:w="912" w:type="dxa"/>
          </w:tcPr>
          <w:p w:rsidR="00617ED2" w:rsidRPr="004005C1" w:rsidRDefault="00617ED2" w:rsidP="00EB2B3E">
            <w:r>
              <w:t>JG</w:t>
            </w:r>
          </w:p>
        </w:tc>
      </w:tr>
      <w:tr w:rsidR="00522413" w:rsidRPr="004005C1" w:rsidTr="002A71E7">
        <w:tc>
          <w:tcPr>
            <w:tcW w:w="2345" w:type="dxa"/>
          </w:tcPr>
          <w:p w:rsidR="00522413" w:rsidRPr="004005C1" w:rsidRDefault="00522413" w:rsidP="00043FFC">
            <w:r>
              <w:t>Gillian Hay</w:t>
            </w:r>
            <w:r w:rsidR="00945834">
              <w:t>ward</w:t>
            </w:r>
          </w:p>
        </w:tc>
        <w:tc>
          <w:tcPr>
            <w:tcW w:w="6237" w:type="dxa"/>
          </w:tcPr>
          <w:p w:rsidR="00522413" w:rsidRPr="004005C1" w:rsidRDefault="00945834" w:rsidP="00043FFC">
            <w:r>
              <w:t>Chair, Gloucestershire Schools Forum</w:t>
            </w:r>
          </w:p>
        </w:tc>
        <w:tc>
          <w:tcPr>
            <w:tcW w:w="912" w:type="dxa"/>
          </w:tcPr>
          <w:p w:rsidR="00522413" w:rsidRDefault="00945834" w:rsidP="00043FFC">
            <w:r>
              <w:t>GH</w:t>
            </w:r>
          </w:p>
        </w:tc>
      </w:tr>
      <w:tr w:rsidR="00845518" w:rsidRPr="004005C1" w:rsidTr="002A71E7">
        <w:tc>
          <w:tcPr>
            <w:tcW w:w="2345" w:type="dxa"/>
          </w:tcPr>
          <w:p w:rsidR="00845518" w:rsidRPr="004005C1" w:rsidRDefault="00845518" w:rsidP="00043FFC">
            <w:r>
              <w:t>Geoffrey Head</w:t>
            </w:r>
          </w:p>
        </w:tc>
        <w:tc>
          <w:tcPr>
            <w:tcW w:w="6237" w:type="dxa"/>
          </w:tcPr>
          <w:p w:rsidR="00845518" w:rsidRPr="004005C1" w:rsidRDefault="00845518" w:rsidP="00043FFC">
            <w:r>
              <w:t>Local Partnerships Manager, Jobcentre Plus</w:t>
            </w:r>
          </w:p>
        </w:tc>
        <w:tc>
          <w:tcPr>
            <w:tcW w:w="912" w:type="dxa"/>
          </w:tcPr>
          <w:p w:rsidR="00845518" w:rsidRDefault="00845518" w:rsidP="00043FFC">
            <w:r>
              <w:t>GH</w:t>
            </w:r>
          </w:p>
        </w:tc>
      </w:tr>
      <w:tr w:rsidR="00BF1123" w:rsidRPr="004005C1" w:rsidTr="002A71E7">
        <w:tc>
          <w:tcPr>
            <w:tcW w:w="2345" w:type="dxa"/>
          </w:tcPr>
          <w:p w:rsidR="00BF1123" w:rsidRPr="004005C1" w:rsidRDefault="00BF1123" w:rsidP="000E4447">
            <w:r>
              <w:t>Duncan Jordan</w:t>
            </w:r>
          </w:p>
        </w:tc>
        <w:tc>
          <w:tcPr>
            <w:tcW w:w="6237" w:type="dxa"/>
          </w:tcPr>
          <w:p w:rsidR="00BF1123" w:rsidRPr="004005C1" w:rsidRDefault="00BF1123" w:rsidP="000E4447">
            <w:r>
              <w:t>Chief Operating Officer, GCS</w:t>
            </w:r>
          </w:p>
        </w:tc>
        <w:tc>
          <w:tcPr>
            <w:tcW w:w="912" w:type="dxa"/>
          </w:tcPr>
          <w:p w:rsidR="00BF1123" w:rsidRDefault="00BF1123" w:rsidP="000E4447">
            <w:r>
              <w:t>DJ</w:t>
            </w:r>
          </w:p>
        </w:tc>
      </w:tr>
      <w:tr w:rsidR="00010F8F" w:rsidRPr="004005C1" w:rsidTr="002A71E7">
        <w:tc>
          <w:tcPr>
            <w:tcW w:w="2345" w:type="dxa"/>
          </w:tcPr>
          <w:p w:rsidR="00010F8F" w:rsidRDefault="00010F8F" w:rsidP="00043FFC">
            <w:r>
              <w:t>Jane Lloyd Davies</w:t>
            </w:r>
          </w:p>
        </w:tc>
        <w:tc>
          <w:tcPr>
            <w:tcW w:w="6237" w:type="dxa"/>
          </w:tcPr>
          <w:p w:rsidR="00010F8F" w:rsidRDefault="002A71E7" w:rsidP="00043FFC">
            <w:r>
              <w:t>Head of Education Performance</w:t>
            </w:r>
          </w:p>
        </w:tc>
        <w:tc>
          <w:tcPr>
            <w:tcW w:w="912" w:type="dxa"/>
          </w:tcPr>
          <w:p w:rsidR="00010F8F" w:rsidRDefault="002A71E7" w:rsidP="00043FFC">
            <w:r>
              <w:t>JLD</w:t>
            </w:r>
          </w:p>
        </w:tc>
      </w:tr>
      <w:tr w:rsidR="00E05F1F" w:rsidRPr="004005C1" w:rsidTr="002A71E7">
        <w:tc>
          <w:tcPr>
            <w:tcW w:w="2345" w:type="dxa"/>
          </w:tcPr>
          <w:p w:rsidR="00E05F1F" w:rsidRPr="004005C1" w:rsidRDefault="00E05F1F" w:rsidP="00C35217">
            <w:r w:rsidRPr="004005C1">
              <w:t>Karen Lewis</w:t>
            </w:r>
          </w:p>
        </w:tc>
        <w:tc>
          <w:tcPr>
            <w:tcW w:w="6237" w:type="dxa"/>
          </w:tcPr>
          <w:p w:rsidR="00E05F1F" w:rsidRPr="004005C1" w:rsidRDefault="00E05F1F" w:rsidP="00C35217">
            <w:r w:rsidRPr="004005C1">
              <w:t>Head, Grangefield Primary School and Co-Chair GAPH</w:t>
            </w:r>
          </w:p>
        </w:tc>
        <w:tc>
          <w:tcPr>
            <w:tcW w:w="912" w:type="dxa"/>
          </w:tcPr>
          <w:p w:rsidR="00E05F1F" w:rsidRPr="004005C1" w:rsidRDefault="00E05F1F" w:rsidP="00C35217">
            <w:r>
              <w:t>KL</w:t>
            </w:r>
          </w:p>
        </w:tc>
      </w:tr>
      <w:tr w:rsidR="00BF1123" w:rsidRPr="004005C1" w:rsidTr="002A71E7">
        <w:tc>
          <w:tcPr>
            <w:tcW w:w="2345" w:type="dxa"/>
          </w:tcPr>
          <w:p w:rsidR="00BF1123" w:rsidRPr="004005C1" w:rsidRDefault="00BF1123" w:rsidP="00C35217">
            <w:r>
              <w:t>Dave McCallum</w:t>
            </w:r>
          </w:p>
        </w:tc>
        <w:tc>
          <w:tcPr>
            <w:tcW w:w="6237" w:type="dxa"/>
          </w:tcPr>
          <w:p w:rsidR="00BF1123" w:rsidRDefault="00BF1123" w:rsidP="000E4447">
            <w:r>
              <w:t>Independent Chair, Gloucestershire Safeguarding Board</w:t>
            </w:r>
          </w:p>
        </w:tc>
        <w:tc>
          <w:tcPr>
            <w:tcW w:w="912" w:type="dxa"/>
          </w:tcPr>
          <w:p w:rsidR="00BF1123" w:rsidRDefault="00BF1123" w:rsidP="000E4447">
            <w:r>
              <w:t>DM</w:t>
            </w:r>
          </w:p>
        </w:tc>
      </w:tr>
      <w:tr w:rsidR="00682B3D" w:rsidRPr="004005C1" w:rsidTr="002A71E7">
        <w:tc>
          <w:tcPr>
            <w:tcW w:w="2345" w:type="dxa"/>
          </w:tcPr>
          <w:p w:rsidR="00682B3D" w:rsidRPr="004005C1" w:rsidRDefault="00682B3D" w:rsidP="00C35217">
            <w:r>
              <w:t>Stephen Mackay</w:t>
            </w:r>
          </w:p>
        </w:tc>
        <w:tc>
          <w:tcPr>
            <w:tcW w:w="6237" w:type="dxa"/>
          </w:tcPr>
          <w:p w:rsidR="00682B3D" w:rsidRPr="004005C1" w:rsidRDefault="00682B3D" w:rsidP="00C35217">
            <w:r>
              <w:t>Head Teacher and Chair of GASH</w:t>
            </w:r>
          </w:p>
        </w:tc>
        <w:tc>
          <w:tcPr>
            <w:tcW w:w="912" w:type="dxa"/>
          </w:tcPr>
          <w:p w:rsidR="00682B3D" w:rsidRDefault="00682B3D" w:rsidP="00C35217">
            <w:r>
              <w:t>SM</w:t>
            </w:r>
          </w:p>
        </w:tc>
      </w:tr>
      <w:tr w:rsidR="009B34D4" w:rsidRPr="004005C1" w:rsidTr="002A71E7">
        <w:tc>
          <w:tcPr>
            <w:tcW w:w="2345" w:type="dxa"/>
          </w:tcPr>
          <w:p w:rsidR="009B34D4" w:rsidRPr="004005C1" w:rsidRDefault="00FB2D44" w:rsidP="00043FFC">
            <w:r>
              <w:t>Kathy O’Mahon</w:t>
            </w:r>
            <w:r w:rsidR="009B34D4" w:rsidRPr="004005C1">
              <w:t>y</w:t>
            </w:r>
          </w:p>
        </w:tc>
        <w:tc>
          <w:tcPr>
            <w:tcW w:w="6237" w:type="dxa"/>
          </w:tcPr>
          <w:p w:rsidR="009B34D4" w:rsidRPr="004005C1" w:rsidRDefault="009B34D4" w:rsidP="00043FFC">
            <w:r w:rsidRPr="004005C1">
              <w:t>Operations Director, Children’s Safeguarding and Care, GCC</w:t>
            </w:r>
          </w:p>
        </w:tc>
        <w:tc>
          <w:tcPr>
            <w:tcW w:w="912" w:type="dxa"/>
          </w:tcPr>
          <w:p w:rsidR="009B34D4" w:rsidRPr="004005C1" w:rsidRDefault="009B34D4" w:rsidP="00043FFC">
            <w:r>
              <w:t>KO’M</w:t>
            </w:r>
          </w:p>
        </w:tc>
      </w:tr>
      <w:tr w:rsidR="009B34D4" w:rsidRPr="004005C1" w:rsidTr="002A71E7">
        <w:tc>
          <w:tcPr>
            <w:tcW w:w="2345" w:type="dxa"/>
          </w:tcPr>
          <w:p w:rsidR="009B34D4" w:rsidRPr="004005C1" w:rsidRDefault="009B34D4" w:rsidP="00043FFC">
            <w:r>
              <w:t>Ian Marshall</w:t>
            </w:r>
          </w:p>
        </w:tc>
        <w:tc>
          <w:tcPr>
            <w:tcW w:w="6237" w:type="dxa"/>
          </w:tcPr>
          <w:p w:rsidR="009B34D4" w:rsidRPr="004005C1" w:rsidRDefault="009B34D4" w:rsidP="00043FFC">
            <w:r>
              <w:t>Chair, Gloucestershire Governor’s Association</w:t>
            </w:r>
          </w:p>
        </w:tc>
        <w:tc>
          <w:tcPr>
            <w:tcW w:w="912" w:type="dxa"/>
          </w:tcPr>
          <w:p w:rsidR="009B34D4" w:rsidRDefault="009B34D4" w:rsidP="00043FFC">
            <w:r>
              <w:t>IM</w:t>
            </w:r>
          </w:p>
        </w:tc>
      </w:tr>
      <w:tr w:rsidR="00307DA4" w:rsidRPr="004005C1" w:rsidTr="002A71E7">
        <w:tc>
          <w:tcPr>
            <w:tcW w:w="2345" w:type="dxa"/>
          </w:tcPr>
          <w:p w:rsidR="00307DA4" w:rsidRPr="004005C1" w:rsidRDefault="00307DA4" w:rsidP="00307DA4">
            <w:r w:rsidRPr="004005C1">
              <w:t>Linda Uren</w:t>
            </w:r>
          </w:p>
        </w:tc>
        <w:tc>
          <w:tcPr>
            <w:tcW w:w="6237" w:type="dxa"/>
          </w:tcPr>
          <w:p w:rsidR="00307DA4" w:rsidRPr="004005C1" w:rsidRDefault="00307DA4" w:rsidP="00307DA4">
            <w:r w:rsidRPr="004005C1">
              <w:t>Commissioning Director, Children and Families, GCC</w:t>
            </w:r>
          </w:p>
        </w:tc>
        <w:tc>
          <w:tcPr>
            <w:tcW w:w="912" w:type="dxa"/>
          </w:tcPr>
          <w:p w:rsidR="00307DA4" w:rsidRPr="004005C1" w:rsidRDefault="00307DA4" w:rsidP="00307DA4">
            <w:r>
              <w:t>LU</w:t>
            </w:r>
          </w:p>
        </w:tc>
      </w:tr>
      <w:tr w:rsidR="009B34D4" w:rsidRPr="004005C1" w:rsidTr="002A71E7">
        <w:tc>
          <w:tcPr>
            <w:tcW w:w="2345" w:type="dxa"/>
          </w:tcPr>
          <w:p w:rsidR="009B34D4" w:rsidRPr="004005C1" w:rsidRDefault="009B34D4" w:rsidP="00043FFC">
            <w:r w:rsidRPr="004005C1">
              <w:t>Alison Williams</w:t>
            </w:r>
          </w:p>
        </w:tc>
        <w:tc>
          <w:tcPr>
            <w:tcW w:w="6237" w:type="dxa"/>
          </w:tcPr>
          <w:p w:rsidR="009B34D4" w:rsidRPr="004005C1" w:rsidRDefault="009B34D4" w:rsidP="00043FFC">
            <w:r w:rsidRPr="004005C1">
              <w:t>Director of Children’s Services and Guidance, Prospects</w:t>
            </w:r>
          </w:p>
        </w:tc>
        <w:tc>
          <w:tcPr>
            <w:tcW w:w="912" w:type="dxa"/>
          </w:tcPr>
          <w:p w:rsidR="009B34D4" w:rsidRPr="004005C1" w:rsidRDefault="009B34D4" w:rsidP="00043FFC">
            <w:r>
              <w:t>AW</w:t>
            </w:r>
          </w:p>
        </w:tc>
      </w:tr>
    </w:tbl>
    <w:p w:rsidR="006B0496" w:rsidRDefault="006B0496" w:rsidP="00683714">
      <w:pPr>
        <w:pStyle w:val="NoSpacing"/>
      </w:pPr>
    </w:p>
    <w:p w:rsidR="002C105A" w:rsidRDefault="005C074A" w:rsidP="00683714">
      <w:pPr>
        <w:pStyle w:val="NoSpacing"/>
      </w:pPr>
      <w:r w:rsidRPr="005C074A">
        <w:rPr>
          <w:b/>
        </w:rPr>
        <w:t>In Attendance</w:t>
      </w:r>
      <w:r>
        <w:t>:</w:t>
      </w:r>
    </w:p>
    <w:tbl>
      <w:tblPr>
        <w:tblStyle w:val="TableGrid"/>
        <w:tblW w:w="0" w:type="auto"/>
        <w:tblInd w:w="-252" w:type="dxa"/>
        <w:tblLook w:val="04A0" w:firstRow="1" w:lastRow="0" w:firstColumn="1" w:lastColumn="0" w:noHBand="0" w:noVBand="1"/>
      </w:tblPr>
      <w:tblGrid>
        <w:gridCol w:w="2371"/>
        <w:gridCol w:w="6211"/>
        <w:gridCol w:w="912"/>
      </w:tblGrid>
      <w:tr w:rsidR="009B34D4" w:rsidRPr="004005C1" w:rsidTr="002A71E7">
        <w:tc>
          <w:tcPr>
            <w:tcW w:w="2371" w:type="dxa"/>
          </w:tcPr>
          <w:p w:rsidR="009B34D4" w:rsidRPr="004005C1" w:rsidRDefault="009B34D4" w:rsidP="00043FFC">
            <w:r w:rsidRPr="004005C1">
              <w:t>Helen Flitton (notes)</w:t>
            </w:r>
          </w:p>
        </w:tc>
        <w:tc>
          <w:tcPr>
            <w:tcW w:w="6211" w:type="dxa"/>
          </w:tcPr>
          <w:p w:rsidR="009B34D4" w:rsidRPr="004005C1" w:rsidRDefault="001627E9" w:rsidP="00043FFC">
            <w:r>
              <w:t>Commissioning</w:t>
            </w:r>
            <w:r w:rsidR="002A71E7">
              <w:t xml:space="preserve"> Manager</w:t>
            </w:r>
            <w:r w:rsidR="009B34D4" w:rsidRPr="004005C1">
              <w:t>, GCC</w:t>
            </w:r>
          </w:p>
        </w:tc>
        <w:tc>
          <w:tcPr>
            <w:tcW w:w="912" w:type="dxa"/>
          </w:tcPr>
          <w:p w:rsidR="009B34D4" w:rsidRPr="004005C1" w:rsidRDefault="009B34D4" w:rsidP="00043FFC">
            <w:r>
              <w:t>HF</w:t>
            </w:r>
          </w:p>
        </w:tc>
      </w:tr>
      <w:tr w:rsidR="00C452D2" w:rsidRPr="004005C1" w:rsidTr="002A71E7">
        <w:tc>
          <w:tcPr>
            <w:tcW w:w="2371" w:type="dxa"/>
          </w:tcPr>
          <w:p w:rsidR="00C452D2" w:rsidRPr="004005C1" w:rsidRDefault="00C452D2" w:rsidP="00043FFC">
            <w:r w:rsidRPr="004005C1">
              <w:t>Sally Hebbs</w:t>
            </w:r>
          </w:p>
        </w:tc>
        <w:tc>
          <w:tcPr>
            <w:tcW w:w="6211" w:type="dxa"/>
          </w:tcPr>
          <w:p w:rsidR="00C452D2" w:rsidRPr="004005C1" w:rsidRDefault="00C452D2" w:rsidP="00043FFC">
            <w:r w:rsidRPr="004005C1">
              <w:t>Outcome Manager, GCC</w:t>
            </w:r>
          </w:p>
        </w:tc>
        <w:tc>
          <w:tcPr>
            <w:tcW w:w="912" w:type="dxa"/>
          </w:tcPr>
          <w:p w:rsidR="00C452D2" w:rsidRPr="004005C1" w:rsidRDefault="00C452D2" w:rsidP="00043FFC">
            <w:r>
              <w:t>SH</w:t>
            </w:r>
          </w:p>
        </w:tc>
      </w:tr>
      <w:tr w:rsidR="00A60F12" w:rsidRPr="004005C1" w:rsidTr="002A71E7">
        <w:tc>
          <w:tcPr>
            <w:tcW w:w="2371" w:type="dxa"/>
          </w:tcPr>
          <w:p w:rsidR="00A60F12" w:rsidRPr="004005C1" w:rsidRDefault="00A60F12" w:rsidP="00043FFC">
            <w:r>
              <w:t>Tessa Harris</w:t>
            </w:r>
          </w:p>
        </w:tc>
        <w:tc>
          <w:tcPr>
            <w:tcW w:w="6211" w:type="dxa"/>
          </w:tcPr>
          <w:p w:rsidR="00A60F12" w:rsidRPr="004005C1" w:rsidRDefault="00A60F12" w:rsidP="00043FFC">
            <w:r>
              <w:t>Young People Ambassador</w:t>
            </w:r>
          </w:p>
        </w:tc>
        <w:tc>
          <w:tcPr>
            <w:tcW w:w="912" w:type="dxa"/>
          </w:tcPr>
          <w:p w:rsidR="00A60F12" w:rsidRDefault="00A60F12" w:rsidP="00043FFC">
            <w:r>
              <w:t>TH</w:t>
            </w:r>
          </w:p>
        </w:tc>
      </w:tr>
      <w:tr w:rsidR="00C452D2" w:rsidRPr="004005C1" w:rsidTr="002A71E7">
        <w:tc>
          <w:tcPr>
            <w:tcW w:w="2371" w:type="dxa"/>
          </w:tcPr>
          <w:p w:rsidR="00C452D2" w:rsidRPr="004005C1" w:rsidRDefault="00C452D2" w:rsidP="00043FFC">
            <w:r w:rsidRPr="004005C1">
              <w:t>Eugene O’Kane</w:t>
            </w:r>
          </w:p>
        </w:tc>
        <w:tc>
          <w:tcPr>
            <w:tcW w:w="6211" w:type="dxa"/>
          </w:tcPr>
          <w:p w:rsidR="00C452D2" w:rsidRPr="004005C1" w:rsidRDefault="00C452D2" w:rsidP="00043FFC">
            <w:r w:rsidRPr="004005C1">
              <w:t>Programme Manager, GCC</w:t>
            </w:r>
          </w:p>
        </w:tc>
        <w:tc>
          <w:tcPr>
            <w:tcW w:w="912" w:type="dxa"/>
          </w:tcPr>
          <w:p w:rsidR="00C452D2" w:rsidRPr="004005C1" w:rsidRDefault="00C452D2" w:rsidP="00043FFC">
            <w:r>
              <w:t>EO’K</w:t>
            </w:r>
          </w:p>
        </w:tc>
      </w:tr>
    </w:tbl>
    <w:p w:rsidR="00617ED2" w:rsidRDefault="00617ED2" w:rsidP="00683714">
      <w:pPr>
        <w:pStyle w:val="NoSpacing"/>
        <w:rPr>
          <w:b/>
        </w:rPr>
      </w:pPr>
    </w:p>
    <w:p w:rsidR="002C105A" w:rsidRDefault="00251963" w:rsidP="00683714">
      <w:pPr>
        <w:pStyle w:val="NoSpacing"/>
        <w:rPr>
          <w:b/>
        </w:rPr>
      </w:pPr>
      <w:r w:rsidRPr="00683714">
        <w:rPr>
          <w:b/>
        </w:rPr>
        <w:t>Apologies</w:t>
      </w:r>
      <w:r w:rsidR="001E4612" w:rsidRPr="00683714">
        <w:rPr>
          <w:b/>
        </w:rPr>
        <w:t>:</w:t>
      </w:r>
    </w:p>
    <w:tbl>
      <w:tblPr>
        <w:tblStyle w:val="TableGrid"/>
        <w:tblW w:w="9494" w:type="dxa"/>
        <w:tblInd w:w="-252" w:type="dxa"/>
        <w:tblLook w:val="04A0" w:firstRow="1" w:lastRow="0" w:firstColumn="1" w:lastColumn="0" w:noHBand="0" w:noVBand="1"/>
      </w:tblPr>
      <w:tblGrid>
        <w:gridCol w:w="2416"/>
        <w:gridCol w:w="6275"/>
        <w:gridCol w:w="803"/>
      </w:tblGrid>
      <w:tr w:rsidR="00EF055B" w:rsidRPr="004005C1" w:rsidTr="008D26A7">
        <w:tc>
          <w:tcPr>
            <w:tcW w:w="2416" w:type="dxa"/>
          </w:tcPr>
          <w:p w:rsidR="00EF055B" w:rsidRDefault="00EF055B" w:rsidP="00043FFC">
            <w:r>
              <w:t>Paul Byrne</w:t>
            </w:r>
          </w:p>
        </w:tc>
        <w:tc>
          <w:tcPr>
            <w:tcW w:w="6275" w:type="dxa"/>
          </w:tcPr>
          <w:p w:rsidR="00EF055B" w:rsidRDefault="00EF055B" w:rsidP="00043FFC">
            <w:r>
              <w:t>Divisional Director of Operations, GHNHSFT</w:t>
            </w:r>
          </w:p>
        </w:tc>
        <w:tc>
          <w:tcPr>
            <w:tcW w:w="803" w:type="dxa"/>
          </w:tcPr>
          <w:p w:rsidR="00EF055B" w:rsidRDefault="00EF055B" w:rsidP="00043FFC">
            <w:proofErr w:type="spellStart"/>
            <w:r>
              <w:t>PBy</w:t>
            </w:r>
            <w:proofErr w:type="spellEnd"/>
          </w:p>
        </w:tc>
      </w:tr>
      <w:tr w:rsidR="000C2B8A" w:rsidRPr="004005C1" w:rsidTr="008D26A7">
        <w:tc>
          <w:tcPr>
            <w:tcW w:w="2416" w:type="dxa"/>
          </w:tcPr>
          <w:p w:rsidR="000C2B8A" w:rsidRDefault="000C2B8A" w:rsidP="00043FFC">
            <w:r>
              <w:t>Stephanie McBride</w:t>
            </w:r>
          </w:p>
        </w:tc>
        <w:tc>
          <w:tcPr>
            <w:tcW w:w="6275" w:type="dxa"/>
          </w:tcPr>
          <w:p w:rsidR="000C2B8A" w:rsidRDefault="000C2B8A" w:rsidP="00043FFC">
            <w:r>
              <w:t>Area Manager, Community Rehabilitation Company</w:t>
            </w:r>
          </w:p>
        </w:tc>
        <w:tc>
          <w:tcPr>
            <w:tcW w:w="803" w:type="dxa"/>
          </w:tcPr>
          <w:p w:rsidR="000C2B8A" w:rsidRDefault="000C2B8A" w:rsidP="00043FFC">
            <w:proofErr w:type="spellStart"/>
            <w:r>
              <w:t>SM</w:t>
            </w:r>
            <w:r w:rsidR="00682B3D">
              <w:t>cB</w:t>
            </w:r>
            <w:proofErr w:type="spellEnd"/>
          </w:p>
        </w:tc>
      </w:tr>
      <w:tr w:rsidR="005151B5" w:rsidRPr="004005C1" w:rsidTr="008D26A7">
        <w:tc>
          <w:tcPr>
            <w:tcW w:w="2416" w:type="dxa"/>
          </w:tcPr>
          <w:p w:rsidR="005151B5" w:rsidRPr="004005C1" w:rsidRDefault="005151B5" w:rsidP="00D25FE0">
            <w:r>
              <w:t>Dr Helen Miller</w:t>
            </w:r>
          </w:p>
        </w:tc>
        <w:tc>
          <w:tcPr>
            <w:tcW w:w="6275" w:type="dxa"/>
          </w:tcPr>
          <w:p w:rsidR="005151B5" w:rsidRPr="004005C1" w:rsidRDefault="005151B5" w:rsidP="00D25FE0">
            <w:r>
              <w:t>Chair, CCG</w:t>
            </w:r>
          </w:p>
        </w:tc>
        <w:tc>
          <w:tcPr>
            <w:tcW w:w="803" w:type="dxa"/>
          </w:tcPr>
          <w:p w:rsidR="005151B5" w:rsidRDefault="005151B5" w:rsidP="00D25FE0">
            <w:r>
              <w:t>HM</w:t>
            </w:r>
          </w:p>
        </w:tc>
      </w:tr>
      <w:tr w:rsidR="002420C2" w:rsidRPr="004005C1" w:rsidTr="008D26A7">
        <w:tc>
          <w:tcPr>
            <w:tcW w:w="2416" w:type="dxa"/>
          </w:tcPr>
          <w:p w:rsidR="002420C2" w:rsidRDefault="002420C2" w:rsidP="00D25FE0">
            <w:r>
              <w:t>Katherine Rudd</w:t>
            </w:r>
          </w:p>
        </w:tc>
        <w:tc>
          <w:tcPr>
            <w:tcW w:w="6275" w:type="dxa"/>
          </w:tcPr>
          <w:p w:rsidR="002420C2" w:rsidRDefault="00107E8D" w:rsidP="00D25FE0">
            <w:r>
              <w:t>Principal</w:t>
            </w:r>
            <w:r w:rsidR="002420C2">
              <w:t>, National Star College</w:t>
            </w:r>
          </w:p>
        </w:tc>
        <w:tc>
          <w:tcPr>
            <w:tcW w:w="803" w:type="dxa"/>
          </w:tcPr>
          <w:p w:rsidR="002420C2" w:rsidRDefault="002420C2" w:rsidP="00D25FE0">
            <w:r>
              <w:t>KR</w:t>
            </w:r>
          </w:p>
        </w:tc>
      </w:tr>
      <w:tr w:rsidR="00617ED2" w:rsidRPr="004005C1" w:rsidTr="008D26A7">
        <w:tc>
          <w:tcPr>
            <w:tcW w:w="2416" w:type="dxa"/>
          </w:tcPr>
          <w:p w:rsidR="00617ED2" w:rsidRDefault="00617ED2" w:rsidP="00D25FE0">
            <w:r>
              <w:t>Sarah Scott</w:t>
            </w:r>
          </w:p>
        </w:tc>
        <w:tc>
          <w:tcPr>
            <w:tcW w:w="6275" w:type="dxa"/>
          </w:tcPr>
          <w:p w:rsidR="00617ED2" w:rsidRDefault="00617ED2" w:rsidP="00D25FE0">
            <w:r>
              <w:t>Director of Public Health</w:t>
            </w:r>
          </w:p>
        </w:tc>
        <w:tc>
          <w:tcPr>
            <w:tcW w:w="803" w:type="dxa"/>
          </w:tcPr>
          <w:p w:rsidR="00617ED2" w:rsidRDefault="00617ED2" w:rsidP="00D25FE0">
            <w:r>
              <w:t>SS</w:t>
            </w:r>
          </w:p>
        </w:tc>
      </w:tr>
      <w:tr w:rsidR="00BF1123" w:rsidRPr="004005C1" w:rsidTr="008D26A7">
        <w:tc>
          <w:tcPr>
            <w:tcW w:w="2416" w:type="dxa"/>
          </w:tcPr>
          <w:p w:rsidR="00BF1123" w:rsidRPr="004005C1" w:rsidRDefault="00BF1123" w:rsidP="000E4447">
            <w:r>
              <w:t>Richard Temple</w:t>
            </w:r>
          </w:p>
        </w:tc>
        <w:tc>
          <w:tcPr>
            <w:tcW w:w="6275" w:type="dxa"/>
          </w:tcPr>
          <w:p w:rsidR="00BF1123" w:rsidRPr="004005C1" w:rsidRDefault="00BF1123" w:rsidP="000E4447">
            <w:r>
              <w:t>Community Rehabilitation Company</w:t>
            </w:r>
          </w:p>
        </w:tc>
        <w:tc>
          <w:tcPr>
            <w:tcW w:w="803" w:type="dxa"/>
          </w:tcPr>
          <w:p w:rsidR="00BF1123" w:rsidRPr="004005C1" w:rsidRDefault="00BF1123" w:rsidP="000E4447">
            <w:r>
              <w:t>RT</w:t>
            </w:r>
          </w:p>
        </w:tc>
      </w:tr>
      <w:tr w:rsidR="001301FC" w:rsidRPr="004005C1" w:rsidTr="008D26A7">
        <w:tc>
          <w:tcPr>
            <w:tcW w:w="2416" w:type="dxa"/>
          </w:tcPr>
          <w:p w:rsidR="001301FC" w:rsidRPr="004005C1" w:rsidRDefault="002420C2" w:rsidP="00307DA4">
            <w:r>
              <w:t>Mark Walkingshaw</w:t>
            </w:r>
          </w:p>
        </w:tc>
        <w:tc>
          <w:tcPr>
            <w:tcW w:w="6275" w:type="dxa"/>
          </w:tcPr>
          <w:p w:rsidR="001301FC" w:rsidRPr="004005C1" w:rsidRDefault="002420C2" w:rsidP="00307DA4">
            <w:r>
              <w:t>Director of Commissioning Implementation</w:t>
            </w:r>
          </w:p>
        </w:tc>
        <w:tc>
          <w:tcPr>
            <w:tcW w:w="803" w:type="dxa"/>
          </w:tcPr>
          <w:p w:rsidR="001301FC" w:rsidRPr="004005C1" w:rsidRDefault="002420C2" w:rsidP="00307DA4">
            <w:r>
              <w:t>MW</w:t>
            </w:r>
          </w:p>
        </w:tc>
      </w:tr>
    </w:tbl>
    <w:p w:rsidR="002C105A" w:rsidRDefault="002C105A" w:rsidP="001B74BC">
      <w:pPr>
        <w:pStyle w:val="NoSpacing"/>
      </w:pPr>
    </w:p>
    <w:p w:rsidR="00FB2D44" w:rsidRDefault="00FB2D44" w:rsidP="001B74BC">
      <w:pPr>
        <w:pStyle w:val="NoSpacing"/>
      </w:pPr>
    </w:p>
    <w:p w:rsidR="00F1323F" w:rsidRPr="001E63A6" w:rsidRDefault="00683714" w:rsidP="002C105A">
      <w:pPr>
        <w:pStyle w:val="NoSpacing"/>
        <w:rPr>
          <w:rStyle w:val="Strong"/>
        </w:rPr>
      </w:pPr>
      <w:r>
        <w:t xml:space="preserve"> </w:t>
      </w:r>
      <w:r w:rsidR="001E63A6" w:rsidRPr="001E63A6">
        <w:rPr>
          <w:rStyle w:val="Strong"/>
        </w:rPr>
        <w:t>Notes:</w:t>
      </w:r>
    </w:p>
    <w:tbl>
      <w:tblPr>
        <w:tblStyle w:val="TableGrid"/>
        <w:tblW w:w="0" w:type="auto"/>
        <w:tblInd w:w="-252" w:type="dxa"/>
        <w:tblLook w:val="04A0" w:firstRow="1" w:lastRow="0" w:firstColumn="1" w:lastColumn="0" w:noHBand="0" w:noVBand="1"/>
      </w:tblPr>
      <w:tblGrid>
        <w:gridCol w:w="644"/>
        <w:gridCol w:w="7939"/>
        <w:gridCol w:w="911"/>
      </w:tblGrid>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t>1.0</w:t>
            </w:r>
          </w:p>
        </w:tc>
        <w:tc>
          <w:tcPr>
            <w:tcW w:w="7939" w:type="dxa"/>
          </w:tcPr>
          <w:p w:rsidR="001E4612" w:rsidRPr="00872621" w:rsidRDefault="00872621" w:rsidP="00872621">
            <w:pPr>
              <w:rPr>
                <w:rStyle w:val="Strong"/>
              </w:rPr>
            </w:pPr>
            <w:r w:rsidRPr="00872621">
              <w:rPr>
                <w:rStyle w:val="Strong"/>
              </w:rPr>
              <w:t>Minutes of the Previous Meeting</w:t>
            </w:r>
          </w:p>
        </w:tc>
        <w:tc>
          <w:tcPr>
            <w:tcW w:w="911" w:type="dxa"/>
          </w:tcPr>
          <w:p w:rsidR="00BE220E" w:rsidRPr="000B4616" w:rsidRDefault="00BE220E" w:rsidP="0018484F">
            <w:pPr>
              <w:pStyle w:val="NoSpacing"/>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D32AA6" w:rsidRDefault="00D32AA6" w:rsidP="00065048">
            <w:pPr>
              <w:pStyle w:val="NoSpacing"/>
              <w:jc w:val="both"/>
              <w:rPr>
                <w:rFonts w:cs="Arial"/>
                <w:sz w:val="22"/>
              </w:rPr>
            </w:pPr>
            <w:r>
              <w:rPr>
                <w:rFonts w:cs="Arial"/>
                <w:sz w:val="22"/>
              </w:rPr>
              <w:t>Amendment to action under Agenda Item 9.0 – action sits with Steve Mackay</w:t>
            </w:r>
            <w:r w:rsidR="00F109D5">
              <w:rPr>
                <w:rFonts w:cs="Arial"/>
                <w:sz w:val="22"/>
              </w:rPr>
              <w:t xml:space="preserve"> </w:t>
            </w:r>
            <w:r w:rsidR="00F109D5">
              <w:rPr>
                <w:rFonts w:cs="Arial"/>
                <w:sz w:val="22"/>
              </w:rPr>
              <w:lastRenderedPageBreak/>
              <w:t>and not Ian Marshall.</w:t>
            </w:r>
          </w:p>
          <w:p w:rsidR="00F109D5" w:rsidRDefault="00F109D5" w:rsidP="00065048">
            <w:pPr>
              <w:pStyle w:val="NoSpacing"/>
              <w:jc w:val="both"/>
              <w:rPr>
                <w:rFonts w:cs="Arial"/>
                <w:sz w:val="22"/>
              </w:rPr>
            </w:pPr>
          </w:p>
          <w:p w:rsidR="00A772B5" w:rsidRDefault="002B150C" w:rsidP="00065048">
            <w:pPr>
              <w:pStyle w:val="NoSpacing"/>
              <w:jc w:val="both"/>
              <w:rPr>
                <w:rFonts w:cs="Arial"/>
                <w:sz w:val="22"/>
              </w:rPr>
            </w:pPr>
            <w:r>
              <w:rPr>
                <w:rFonts w:cs="Arial"/>
                <w:sz w:val="22"/>
              </w:rPr>
              <w:t>The minutes of the previous meeting were agreed as a true record.</w:t>
            </w:r>
          </w:p>
          <w:p w:rsidR="002B150C" w:rsidRPr="000B4616" w:rsidRDefault="002B150C" w:rsidP="00065048">
            <w:pPr>
              <w:pStyle w:val="NoSpacing"/>
              <w:jc w:val="both"/>
              <w:rPr>
                <w:rFonts w:cs="Arial"/>
                <w:sz w:val="22"/>
              </w:rPr>
            </w:pPr>
          </w:p>
        </w:tc>
        <w:tc>
          <w:tcPr>
            <w:tcW w:w="911" w:type="dxa"/>
          </w:tcPr>
          <w:p w:rsidR="00B03CCE" w:rsidRPr="00515816" w:rsidRDefault="00B03CCE" w:rsidP="0018484F">
            <w:pPr>
              <w:pStyle w:val="NoSpacing"/>
              <w:jc w:val="both"/>
              <w:rPr>
                <w:rStyle w:val="Strong"/>
              </w:rPr>
            </w:pPr>
          </w:p>
        </w:tc>
      </w:tr>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lastRenderedPageBreak/>
              <w:t>2.0</w:t>
            </w:r>
          </w:p>
        </w:tc>
        <w:tc>
          <w:tcPr>
            <w:tcW w:w="7939" w:type="dxa"/>
          </w:tcPr>
          <w:p w:rsidR="001B4C80" w:rsidRPr="00872621" w:rsidRDefault="00872621" w:rsidP="00065048">
            <w:pPr>
              <w:rPr>
                <w:rStyle w:val="Strong"/>
              </w:rPr>
            </w:pPr>
            <w:r w:rsidRPr="00872621">
              <w:rPr>
                <w:rStyle w:val="Strong"/>
              </w:rPr>
              <w:t>Matters Arising</w:t>
            </w:r>
          </w:p>
        </w:tc>
        <w:tc>
          <w:tcPr>
            <w:tcW w:w="911" w:type="dxa"/>
          </w:tcPr>
          <w:p w:rsidR="00291185" w:rsidRPr="000B4616" w:rsidRDefault="00291185" w:rsidP="0018484F">
            <w:pPr>
              <w:pStyle w:val="NoSpacing"/>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D848D3" w:rsidRDefault="000D14FE" w:rsidP="00FC19B8">
            <w:pPr>
              <w:rPr>
                <w:rFonts w:cs="Arial"/>
              </w:rPr>
            </w:pPr>
            <w:r>
              <w:rPr>
                <w:rFonts w:cs="Arial"/>
              </w:rPr>
              <w:t xml:space="preserve">SH confirmed that the Children and Young People Partnership Plan 2015 – 2018 </w:t>
            </w:r>
            <w:r w:rsidR="00D32AA6">
              <w:rPr>
                <w:rFonts w:cs="Arial"/>
              </w:rPr>
              <w:t xml:space="preserve">(CYPPP) </w:t>
            </w:r>
            <w:r w:rsidR="00463739">
              <w:rPr>
                <w:rFonts w:cs="Arial"/>
              </w:rPr>
              <w:t>had been signed off electronically following the last meeting</w:t>
            </w:r>
            <w:r w:rsidR="00D32AA6">
              <w:rPr>
                <w:rFonts w:cs="Arial"/>
              </w:rPr>
              <w:t xml:space="preserve"> and was now uploaded to the GCC website.</w:t>
            </w:r>
          </w:p>
          <w:p w:rsidR="00D32AA6" w:rsidRDefault="00D32AA6" w:rsidP="00FC19B8">
            <w:pPr>
              <w:rPr>
                <w:rFonts w:cs="Arial"/>
              </w:rPr>
            </w:pPr>
          </w:p>
          <w:p w:rsidR="00D32AA6" w:rsidRDefault="00D32AA6" w:rsidP="00D32AA6">
            <w:pPr>
              <w:rPr>
                <w:rFonts w:cs="Arial"/>
              </w:rPr>
            </w:pPr>
            <w:r>
              <w:rPr>
                <w:rFonts w:cs="Arial"/>
              </w:rPr>
              <w:t>In relation to systematic actions needed to underpin activity in Action Card 4, LU confirmed that the MASH Board was the right place to deal with issues around information sharing and that she was happy to pick up any wider issues.</w:t>
            </w:r>
          </w:p>
          <w:p w:rsidR="00D32AA6" w:rsidRDefault="00D32AA6" w:rsidP="00D32AA6">
            <w:pPr>
              <w:rPr>
                <w:rFonts w:cs="Arial"/>
              </w:rPr>
            </w:pPr>
          </w:p>
          <w:p w:rsidR="00F109D5" w:rsidRDefault="00F109D5" w:rsidP="00D32AA6">
            <w:pPr>
              <w:rPr>
                <w:rFonts w:cs="Arial"/>
              </w:rPr>
            </w:pPr>
            <w:r>
              <w:rPr>
                <w:rFonts w:cs="Arial"/>
              </w:rPr>
              <w:t>In relation to CSE being raised at the next GASH meeting, SM confirmed that there was now increased awareness and no further action was needed.</w:t>
            </w:r>
          </w:p>
          <w:p w:rsidR="00F109D5" w:rsidRPr="000B4616" w:rsidRDefault="00F109D5" w:rsidP="00D32AA6">
            <w:pPr>
              <w:rPr>
                <w:rFonts w:cs="Arial"/>
              </w:rPr>
            </w:pPr>
          </w:p>
        </w:tc>
        <w:tc>
          <w:tcPr>
            <w:tcW w:w="911" w:type="dxa"/>
          </w:tcPr>
          <w:p w:rsidR="00811DD9" w:rsidRPr="00811DD9" w:rsidRDefault="00811DD9" w:rsidP="0018484F">
            <w:pPr>
              <w:pStyle w:val="NoSpacing"/>
              <w:jc w:val="both"/>
              <w:rPr>
                <w:rFonts w:cs="Arial"/>
                <w:b/>
                <w:sz w:val="22"/>
              </w:rPr>
            </w:pPr>
          </w:p>
        </w:tc>
      </w:tr>
      <w:tr w:rsidR="00F1323F" w:rsidRPr="000B4616" w:rsidTr="009C2EE8">
        <w:tc>
          <w:tcPr>
            <w:tcW w:w="644" w:type="dxa"/>
          </w:tcPr>
          <w:p w:rsidR="00F1323F" w:rsidRPr="00872621" w:rsidRDefault="00872621" w:rsidP="0018484F">
            <w:pPr>
              <w:pStyle w:val="NoSpacing"/>
              <w:jc w:val="both"/>
              <w:rPr>
                <w:rStyle w:val="Strong"/>
                <w:sz w:val="22"/>
              </w:rPr>
            </w:pPr>
            <w:r w:rsidRPr="00872621">
              <w:rPr>
                <w:rStyle w:val="Strong"/>
                <w:sz w:val="22"/>
              </w:rPr>
              <w:t>3.0</w:t>
            </w:r>
          </w:p>
        </w:tc>
        <w:tc>
          <w:tcPr>
            <w:tcW w:w="7939" w:type="dxa"/>
          </w:tcPr>
          <w:p w:rsidR="00D44308" w:rsidRPr="00872621" w:rsidRDefault="007A1059" w:rsidP="003B60D1">
            <w:pPr>
              <w:rPr>
                <w:rStyle w:val="Strong"/>
              </w:rPr>
            </w:pPr>
            <w:r>
              <w:rPr>
                <w:rStyle w:val="Strong"/>
              </w:rPr>
              <w:t>GSCB Working Protocol</w:t>
            </w:r>
          </w:p>
        </w:tc>
        <w:tc>
          <w:tcPr>
            <w:tcW w:w="911" w:type="dxa"/>
          </w:tcPr>
          <w:p w:rsidR="003A2960" w:rsidRPr="000B4616" w:rsidRDefault="003A2960" w:rsidP="0018484F">
            <w:pPr>
              <w:pStyle w:val="NoSpacing"/>
              <w:jc w:val="both"/>
              <w:rPr>
                <w:rFonts w:cs="Arial"/>
                <w:sz w:val="22"/>
              </w:rPr>
            </w:pPr>
          </w:p>
        </w:tc>
      </w:tr>
      <w:tr w:rsidR="002702E9" w:rsidRPr="000B4616" w:rsidTr="009C2EE8">
        <w:tc>
          <w:tcPr>
            <w:tcW w:w="644" w:type="dxa"/>
          </w:tcPr>
          <w:p w:rsidR="002702E9" w:rsidRPr="00872621" w:rsidRDefault="002702E9" w:rsidP="0018484F">
            <w:pPr>
              <w:pStyle w:val="NoSpacing"/>
              <w:jc w:val="both"/>
              <w:rPr>
                <w:rFonts w:cs="Arial"/>
                <w:sz w:val="22"/>
              </w:rPr>
            </w:pPr>
          </w:p>
        </w:tc>
        <w:tc>
          <w:tcPr>
            <w:tcW w:w="7939" w:type="dxa"/>
          </w:tcPr>
          <w:p w:rsidR="008510B0" w:rsidRDefault="00FE68E5" w:rsidP="00FE68E5">
            <w:r>
              <w:t xml:space="preserve">The Gloucestershire Safeguarding Children Board Working Protocol now incorporates adults and DM introduced the refreshed protocol which reflects these changes.  He noted that the Safeguarding Board has a function to check and test and has the authority to call any agency represented on the </w:t>
            </w:r>
            <w:r w:rsidR="00832592">
              <w:t>Children’s Partnership to account for its safeguarding activity and to challenge, where necessary, the GCP commissioning process.  The Safeguarding Board will produce and publish an Annual Report on the effectiveness of safeguarding arrangements within Gloucestershire.</w:t>
            </w:r>
          </w:p>
          <w:p w:rsidR="00832592" w:rsidRDefault="00832592" w:rsidP="00FE68E5"/>
          <w:p w:rsidR="00832592" w:rsidRDefault="00832592" w:rsidP="00FE68E5">
            <w:r>
              <w:t>LU asked about the extent to which partners challenge and escalate issues.  DM noted that there is a reluctance to challenge possibly born out of the rationalisation of what organisations do</w:t>
            </w:r>
            <w:r w:rsidR="0049066F">
              <w:t>.  Organisations need to have a mature relationship.  This is a focus within the Safeguarding Children’s Board and it would be helpful if it is a focus at GCP too.</w:t>
            </w:r>
          </w:p>
          <w:p w:rsidR="0049066F" w:rsidRDefault="0049066F" w:rsidP="00FE68E5"/>
          <w:p w:rsidR="0049066F" w:rsidRDefault="0049066F" w:rsidP="00FE68E5">
            <w:r>
              <w:t>The Working Protocol was endorsed by the Board.</w:t>
            </w:r>
          </w:p>
          <w:p w:rsidR="0049066F" w:rsidRPr="004005C1" w:rsidRDefault="0049066F" w:rsidP="00FE68E5"/>
        </w:tc>
        <w:tc>
          <w:tcPr>
            <w:tcW w:w="911" w:type="dxa"/>
          </w:tcPr>
          <w:p w:rsidR="009D5445" w:rsidRPr="005824E1" w:rsidRDefault="009D5445" w:rsidP="0018484F">
            <w:pPr>
              <w:pStyle w:val="NoSpacing"/>
              <w:jc w:val="both"/>
              <w:rPr>
                <w:rStyle w:val="Strong"/>
              </w:rPr>
            </w:pPr>
          </w:p>
        </w:tc>
      </w:tr>
      <w:tr w:rsidR="002702E9" w:rsidRPr="000B4616" w:rsidTr="009C2EE8">
        <w:tc>
          <w:tcPr>
            <w:tcW w:w="644" w:type="dxa"/>
          </w:tcPr>
          <w:p w:rsidR="002702E9" w:rsidRPr="00872621" w:rsidRDefault="002702E9" w:rsidP="00872621">
            <w:pPr>
              <w:rPr>
                <w:rStyle w:val="Strong"/>
              </w:rPr>
            </w:pPr>
            <w:r w:rsidRPr="00872621">
              <w:rPr>
                <w:rStyle w:val="Strong"/>
              </w:rPr>
              <w:t>4.0</w:t>
            </w:r>
          </w:p>
        </w:tc>
        <w:tc>
          <w:tcPr>
            <w:tcW w:w="7939" w:type="dxa"/>
          </w:tcPr>
          <w:p w:rsidR="002702E9" w:rsidRPr="00F37407" w:rsidRDefault="007A1059" w:rsidP="001B74BC">
            <w:pPr>
              <w:rPr>
                <w:rStyle w:val="Strong"/>
              </w:rPr>
            </w:pPr>
            <w:r>
              <w:rPr>
                <w:rStyle w:val="Strong"/>
              </w:rPr>
              <w:t>Innovations Fund</w:t>
            </w:r>
            <w:r w:rsidR="00CF4466">
              <w:rPr>
                <w:rStyle w:val="Strong"/>
              </w:rPr>
              <w:t xml:space="preserve"> Programme</w:t>
            </w:r>
            <w:r w:rsidR="0068150B">
              <w:rPr>
                <w:rStyle w:val="Strong"/>
              </w:rPr>
              <w:t xml:space="preserve"> – plans to develop specialist services for adolescents</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152B3A" w:rsidRDefault="00983A73" w:rsidP="008C5A33">
            <w:pPr>
              <w:rPr>
                <w:rFonts w:cs="Arial"/>
              </w:rPr>
            </w:pPr>
            <w:r>
              <w:rPr>
                <w:rFonts w:cs="Arial"/>
              </w:rPr>
              <w:t xml:space="preserve">AW </w:t>
            </w:r>
            <w:r w:rsidR="00015CA2">
              <w:rPr>
                <w:rFonts w:cs="Arial"/>
              </w:rPr>
              <w:t>gave a detailed presentation to the Board on plans for developing a more effec</w:t>
            </w:r>
            <w:r w:rsidR="00CF4466">
              <w:rPr>
                <w:rFonts w:cs="Arial"/>
              </w:rPr>
              <w:t>tive response to the needs of adolescents and adolescent risk. Partners were asked to reflect on how they sho</w:t>
            </w:r>
            <w:r w:rsidR="00B65FD0" w:rsidRPr="00CF4466">
              <w:rPr>
                <w:rFonts w:cs="Arial"/>
              </w:rPr>
              <w:t>uld be responding differently to the needs of adolescents</w:t>
            </w:r>
            <w:r w:rsidR="00CB147A">
              <w:rPr>
                <w:rFonts w:cs="Arial"/>
              </w:rPr>
              <w:t>;  h</w:t>
            </w:r>
            <w:r w:rsidR="00B65FD0" w:rsidRPr="00015CA2">
              <w:rPr>
                <w:rFonts w:cs="Arial"/>
              </w:rPr>
              <w:t>ow</w:t>
            </w:r>
            <w:r w:rsidR="008C5A33">
              <w:rPr>
                <w:rFonts w:cs="Arial"/>
              </w:rPr>
              <w:t xml:space="preserve"> </w:t>
            </w:r>
            <w:r w:rsidR="00B65FD0" w:rsidRPr="00015CA2">
              <w:rPr>
                <w:rFonts w:cs="Arial"/>
              </w:rPr>
              <w:t>risk and safeguarding concerns</w:t>
            </w:r>
            <w:r w:rsidR="008C5A33">
              <w:rPr>
                <w:rFonts w:cs="Arial"/>
              </w:rPr>
              <w:t xml:space="preserve"> could be managed better; h</w:t>
            </w:r>
            <w:r w:rsidR="00B65FD0" w:rsidRPr="00015CA2">
              <w:rPr>
                <w:rFonts w:cs="Arial"/>
              </w:rPr>
              <w:t>ow learning and best practice</w:t>
            </w:r>
            <w:r w:rsidR="008C5A33">
              <w:rPr>
                <w:rFonts w:cs="Arial"/>
              </w:rPr>
              <w:t xml:space="preserve"> can be shared and what the implications are for services.  </w:t>
            </w:r>
          </w:p>
          <w:p w:rsidR="008C5A33" w:rsidRDefault="008C5A33" w:rsidP="008C5A33">
            <w:pPr>
              <w:rPr>
                <w:rFonts w:cs="Arial"/>
              </w:rPr>
            </w:pPr>
          </w:p>
          <w:p w:rsidR="008C5A33" w:rsidRDefault="008C5A33" w:rsidP="00F43D7F">
            <w:pPr>
              <w:rPr>
                <w:rFonts w:cs="Arial"/>
              </w:rPr>
            </w:pPr>
            <w:r>
              <w:rPr>
                <w:rFonts w:cs="Arial"/>
              </w:rPr>
              <w:t>Colleagues discussed multidisciplinary working and how to educate the workforce to become truly multi-skilled</w:t>
            </w:r>
            <w:r w:rsidR="005E6BA5">
              <w:rPr>
                <w:rFonts w:cs="Arial"/>
              </w:rPr>
              <w:t xml:space="preserve"> and asked whether more could be done to disseminate </w:t>
            </w:r>
            <w:r w:rsidR="00F43D7F">
              <w:rPr>
                <w:rFonts w:cs="Arial"/>
              </w:rPr>
              <w:t xml:space="preserve">timely </w:t>
            </w:r>
            <w:r w:rsidR="005E6BA5">
              <w:rPr>
                <w:rFonts w:cs="Arial"/>
              </w:rPr>
              <w:t xml:space="preserve">information </w:t>
            </w:r>
            <w:r w:rsidR="00F43D7F">
              <w:rPr>
                <w:rFonts w:cs="Arial"/>
              </w:rPr>
              <w:t xml:space="preserve">and advice </w:t>
            </w:r>
            <w:r w:rsidR="005E6BA5">
              <w:rPr>
                <w:rFonts w:cs="Arial"/>
              </w:rPr>
              <w:t>across the workforce</w:t>
            </w:r>
            <w:r w:rsidR="00F43D7F">
              <w:rPr>
                <w:rFonts w:cs="Arial"/>
              </w:rPr>
              <w:t xml:space="preserve">.  </w:t>
            </w:r>
            <w:r w:rsidR="005E6BA5">
              <w:rPr>
                <w:rFonts w:cs="Arial"/>
              </w:rPr>
              <w:t xml:space="preserve"> GH was interested in the </w:t>
            </w:r>
            <w:r w:rsidR="00F43D7F">
              <w:rPr>
                <w:rFonts w:cs="Arial"/>
              </w:rPr>
              <w:t xml:space="preserve">interface with schools and the relationship between professional </w:t>
            </w:r>
            <w:proofErr w:type="gramStart"/>
            <w:r w:rsidR="00F43D7F">
              <w:rPr>
                <w:rFonts w:cs="Arial"/>
              </w:rPr>
              <w:t>support</w:t>
            </w:r>
            <w:proofErr w:type="gramEnd"/>
            <w:r w:rsidR="00F43D7F">
              <w:rPr>
                <w:rFonts w:cs="Arial"/>
              </w:rPr>
              <w:t xml:space="preserve"> provided outside of school and teachers.</w:t>
            </w:r>
          </w:p>
          <w:p w:rsidR="00F43D7F" w:rsidRDefault="00F43D7F" w:rsidP="00F43D7F">
            <w:pPr>
              <w:rPr>
                <w:rFonts w:cs="Arial"/>
              </w:rPr>
            </w:pPr>
          </w:p>
          <w:p w:rsidR="00F43D7F" w:rsidRDefault="00F43D7F" w:rsidP="00F43D7F">
            <w:pPr>
              <w:rPr>
                <w:rFonts w:cs="Arial"/>
              </w:rPr>
            </w:pPr>
            <w:r>
              <w:rPr>
                <w:rFonts w:cs="Arial"/>
              </w:rPr>
              <w:t>EO’K noted that the Early Help Partnerships were working</w:t>
            </w:r>
            <w:r w:rsidR="00D66EC5">
              <w:rPr>
                <w:rFonts w:cs="Arial"/>
              </w:rPr>
              <w:t xml:space="preserve"> and that there were parenting programmes to help parents manage their adolescents.  </w:t>
            </w:r>
            <w:r w:rsidR="006C7391">
              <w:rPr>
                <w:rFonts w:cs="Arial"/>
              </w:rPr>
              <w:t xml:space="preserve">MD reflected that a lot of what was presented seemed obvious and agreed that a more flexible/fluid way of working was needed.  Early Help experience is </w:t>
            </w:r>
            <w:r w:rsidR="006C7391">
              <w:rPr>
                <w:rFonts w:cs="Arial"/>
              </w:rPr>
              <w:lastRenderedPageBreak/>
              <w:t>effective but was difficult to do from a County perspective and may be better from a ‘place’</w:t>
            </w:r>
            <w:r w:rsidR="000D563D">
              <w:rPr>
                <w:rFonts w:cs="Arial"/>
              </w:rPr>
              <w:t xml:space="preserve"> based</w:t>
            </w:r>
            <w:r w:rsidR="006C7391">
              <w:rPr>
                <w:rFonts w:cs="Arial"/>
              </w:rPr>
              <w:t xml:space="preserve"> local perspective.</w:t>
            </w:r>
          </w:p>
          <w:p w:rsidR="006C7391" w:rsidRDefault="006C7391" w:rsidP="00F43D7F">
            <w:pPr>
              <w:rPr>
                <w:rFonts w:cs="Arial"/>
              </w:rPr>
            </w:pPr>
          </w:p>
          <w:p w:rsidR="006C7391" w:rsidRDefault="006C7391" w:rsidP="00F43D7F">
            <w:pPr>
              <w:rPr>
                <w:rFonts w:cs="Arial"/>
              </w:rPr>
            </w:pPr>
            <w:r>
              <w:rPr>
                <w:rFonts w:cs="Arial"/>
              </w:rPr>
              <w:t>SM noted that the most effective situations are where a long term relationship is established between the child and staff in schools.  85% of cases that AW looked at were chaotic and</w:t>
            </w:r>
            <w:r w:rsidR="004E57DD">
              <w:rPr>
                <w:rFonts w:cs="Arial"/>
              </w:rPr>
              <w:t xml:space="preserve"> it was felt that giving </w:t>
            </w:r>
            <w:proofErr w:type="gramStart"/>
            <w:r w:rsidR="004E57DD">
              <w:rPr>
                <w:rFonts w:cs="Arial"/>
              </w:rPr>
              <w:t>a child</w:t>
            </w:r>
            <w:proofErr w:type="gramEnd"/>
            <w:r w:rsidR="004E57DD">
              <w:rPr>
                <w:rFonts w:cs="Arial"/>
              </w:rPr>
              <w:t xml:space="preserve"> stability - ‘I’m not going to give up on you’- is likely to be more effective than short term solutions.  TH agreed that close relationships were </w:t>
            </w:r>
            <w:proofErr w:type="gramStart"/>
            <w:r w:rsidR="004E57DD">
              <w:rPr>
                <w:rFonts w:cs="Arial"/>
              </w:rPr>
              <w:t>key</w:t>
            </w:r>
            <w:proofErr w:type="gramEnd"/>
            <w:r w:rsidR="004E57DD">
              <w:rPr>
                <w:rFonts w:cs="Arial"/>
              </w:rPr>
              <w:t xml:space="preserve"> and that adolescents need to feel that they can trust people.</w:t>
            </w:r>
          </w:p>
          <w:p w:rsidR="004E57DD" w:rsidRDefault="004E57DD" w:rsidP="00F43D7F">
            <w:pPr>
              <w:rPr>
                <w:rFonts w:cs="Arial"/>
              </w:rPr>
            </w:pPr>
          </w:p>
          <w:p w:rsidR="004E57DD" w:rsidRDefault="004E57DD" w:rsidP="00F43D7F">
            <w:pPr>
              <w:rPr>
                <w:rFonts w:cs="Arial"/>
              </w:rPr>
            </w:pPr>
            <w:r>
              <w:rPr>
                <w:rFonts w:cs="Arial"/>
              </w:rPr>
              <w:t xml:space="preserve">LU put the discussion in the context of the national picture noting that the approach outlined by AW is controversial and that the safeguarding system is considered better at the moment.  She highlighted the importance of workforce and getting people to talk </w:t>
            </w:r>
            <w:r w:rsidR="00FC58B4">
              <w:rPr>
                <w:rFonts w:cs="Arial"/>
              </w:rPr>
              <w:t>to each other</w:t>
            </w:r>
            <w:r>
              <w:rPr>
                <w:rFonts w:cs="Arial"/>
              </w:rPr>
              <w:t xml:space="preserve"> and to young people about the </w:t>
            </w:r>
            <w:r w:rsidR="00FC58B4">
              <w:rPr>
                <w:rFonts w:cs="Arial"/>
              </w:rPr>
              <w:t xml:space="preserve">issues; and also of </w:t>
            </w:r>
            <w:r w:rsidR="00763397">
              <w:rPr>
                <w:rFonts w:cs="Arial"/>
              </w:rPr>
              <w:t>supporting teachers</w:t>
            </w:r>
            <w:r>
              <w:rPr>
                <w:rFonts w:cs="Arial"/>
              </w:rPr>
              <w:t xml:space="preserve">.  LU noted that </w:t>
            </w:r>
            <w:r w:rsidR="00763397">
              <w:rPr>
                <w:rFonts w:cs="Arial"/>
              </w:rPr>
              <w:t>the plans for specialist services for adolescents would be going back to the next Early Help meeting. The Safeguarding Board have some challenges to the Partnership and it was agreed that it would be added to the GCP agenda in March 2016.</w:t>
            </w:r>
          </w:p>
          <w:p w:rsidR="0068150B" w:rsidRDefault="0068150B" w:rsidP="00F43D7F">
            <w:pPr>
              <w:rPr>
                <w:rFonts w:cs="Arial"/>
              </w:rPr>
            </w:pPr>
          </w:p>
          <w:p w:rsidR="0068150B" w:rsidRDefault="0068150B" w:rsidP="00F43D7F">
            <w:pPr>
              <w:rPr>
                <w:rFonts w:cs="Arial"/>
              </w:rPr>
            </w:pPr>
            <w:r w:rsidRPr="0068150B">
              <w:rPr>
                <w:rFonts w:cs="Arial"/>
                <w:b/>
              </w:rPr>
              <w:t>ACTION:</w:t>
            </w:r>
            <w:r>
              <w:rPr>
                <w:rFonts w:cs="Arial"/>
              </w:rPr>
              <w:t xml:space="preserve"> ‘Innovations Fund’ to be added to the agenda for March GCP and AW’s presentation to be circulated with the minutes.</w:t>
            </w:r>
          </w:p>
          <w:p w:rsidR="00D66EC5" w:rsidRPr="000B4616" w:rsidRDefault="00D66EC5" w:rsidP="00F43D7F">
            <w:pPr>
              <w:rPr>
                <w:rFonts w:cs="Arial"/>
              </w:rPr>
            </w:pPr>
          </w:p>
        </w:tc>
        <w:tc>
          <w:tcPr>
            <w:tcW w:w="911" w:type="dxa"/>
          </w:tcPr>
          <w:p w:rsidR="00214440" w:rsidRDefault="00214440"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Default="0068150B" w:rsidP="0018484F">
            <w:pPr>
              <w:pStyle w:val="NoSpacing"/>
              <w:jc w:val="both"/>
              <w:rPr>
                <w:rStyle w:val="Strong"/>
              </w:rPr>
            </w:pPr>
          </w:p>
          <w:p w:rsidR="0068150B" w:rsidRPr="005824E1" w:rsidRDefault="0068150B" w:rsidP="0018484F">
            <w:pPr>
              <w:pStyle w:val="NoSpacing"/>
              <w:jc w:val="both"/>
              <w:rPr>
                <w:rStyle w:val="Strong"/>
              </w:rPr>
            </w:pPr>
            <w:r>
              <w:rPr>
                <w:rStyle w:val="Strong"/>
              </w:rPr>
              <w:t>SH; HF</w:t>
            </w:r>
          </w:p>
        </w:tc>
      </w:tr>
      <w:tr w:rsidR="002702E9" w:rsidRPr="000B4616" w:rsidTr="009C2EE8">
        <w:tc>
          <w:tcPr>
            <w:tcW w:w="644" w:type="dxa"/>
          </w:tcPr>
          <w:p w:rsidR="002702E9" w:rsidRPr="00F37407" w:rsidRDefault="002702E9" w:rsidP="0018484F">
            <w:pPr>
              <w:pStyle w:val="NoSpacing"/>
              <w:jc w:val="both"/>
              <w:rPr>
                <w:rStyle w:val="Strong"/>
                <w:sz w:val="22"/>
              </w:rPr>
            </w:pPr>
            <w:r w:rsidRPr="00F37407">
              <w:rPr>
                <w:rStyle w:val="Strong"/>
                <w:sz w:val="22"/>
              </w:rPr>
              <w:lastRenderedPageBreak/>
              <w:t>5.0</w:t>
            </w:r>
          </w:p>
        </w:tc>
        <w:tc>
          <w:tcPr>
            <w:tcW w:w="7939" w:type="dxa"/>
          </w:tcPr>
          <w:p w:rsidR="002702E9" w:rsidRPr="00F37407" w:rsidRDefault="007A1059" w:rsidP="001B74BC">
            <w:pPr>
              <w:rPr>
                <w:rStyle w:val="Strong"/>
              </w:rPr>
            </w:pPr>
            <w:r>
              <w:rPr>
                <w:rStyle w:val="Strong"/>
              </w:rPr>
              <w:t>DCS Report</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1566C7" w:rsidRPr="001566C7" w:rsidRDefault="001566C7" w:rsidP="00E3150A">
            <w:pPr>
              <w:rPr>
                <w:rFonts w:cs="Arial"/>
                <w:b/>
              </w:rPr>
            </w:pPr>
            <w:r w:rsidRPr="001566C7">
              <w:rPr>
                <w:rFonts w:cs="Arial"/>
                <w:b/>
              </w:rPr>
              <w:t>0-11 Years Programme</w:t>
            </w:r>
          </w:p>
          <w:p w:rsidR="00E3150A" w:rsidRDefault="00A330ED" w:rsidP="00E3150A">
            <w:pPr>
              <w:rPr>
                <w:rFonts w:cs="Arial"/>
              </w:rPr>
            </w:pPr>
            <w:r>
              <w:rPr>
                <w:rFonts w:cs="Arial"/>
              </w:rPr>
              <w:t xml:space="preserve">Following on from the discussion of the plans for developing new specialist services for adolescents, LU noted the imminent consultation on future planning for services for families with children aged 0-11 years.  </w:t>
            </w:r>
            <w:r w:rsidR="001566C7">
              <w:rPr>
                <w:rFonts w:cs="Arial"/>
              </w:rPr>
              <w:t>Consultation will run from January to March on options for a targeted service and LU would welcome partners involvement in the discussion and debate</w:t>
            </w:r>
          </w:p>
          <w:p w:rsidR="001566C7" w:rsidRDefault="001566C7" w:rsidP="00E3150A">
            <w:pPr>
              <w:rPr>
                <w:rFonts w:cs="Arial"/>
              </w:rPr>
            </w:pPr>
          </w:p>
          <w:p w:rsidR="001566C7" w:rsidRPr="001566C7" w:rsidRDefault="001566C7" w:rsidP="00E3150A">
            <w:pPr>
              <w:rPr>
                <w:rFonts w:cs="Arial"/>
                <w:b/>
              </w:rPr>
            </w:pPr>
            <w:r w:rsidRPr="001566C7">
              <w:rPr>
                <w:rFonts w:cs="Arial"/>
                <w:b/>
              </w:rPr>
              <w:t>Educational Attainment</w:t>
            </w:r>
          </w:p>
          <w:p w:rsidR="00C602E7" w:rsidRDefault="00B65FD0" w:rsidP="00B65FD0">
            <w:pPr>
              <w:rPr>
                <w:rFonts w:cs="Arial"/>
              </w:rPr>
            </w:pPr>
            <w:r>
              <w:rPr>
                <w:rFonts w:cs="Arial"/>
              </w:rPr>
              <w:t>Attainment across all key stages is strong however the gap between those who achieve well and those who don’t is persistent and wider than nationally.  LU felt that we should celebrate the high performance of our schools but noted a clear expectation from Ofsted that Gloucestershire is doing things to improve the gap.</w:t>
            </w:r>
            <w:r w:rsidR="008B289E">
              <w:rPr>
                <w:rFonts w:cs="Arial"/>
              </w:rPr>
              <w:t xml:space="preserve">  </w:t>
            </w:r>
            <w:r w:rsidR="00576611">
              <w:rPr>
                <w:rFonts w:cs="Arial"/>
              </w:rPr>
              <w:t xml:space="preserve">SM noted that anecdotally for the majority of secondary schools the ‘value added’ picture is much better than if you look at the A-C grades in isolation.  </w:t>
            </w:r>
          </w:p>
          <w:p w:rsidR="00576611" w:rsidRDefault="00576611" w:rsidP="00B65FD0">
            <w:pPr>
              <w:rPr>
                <w:rFonts w:cs="Arial"/>
              </w:rPr>
            </w:pPr>
          </w:p>
          <w:p w:rsidR="00576611" w:rsidRPr="00576611" w:rsidRDefault="00576611" w:rsidP="00B65FD0">
            <w:pPr>
              <w:rPr>
                <w:rFonts w:cs="Arial"/>
                <w:b/>
              </w:rPr>
            </w:pPr>
            <w:r w:rsidRPr="00576611">
              <w:rPr>
                <w:rFonts w:cs="Arial"/>
                <w:b/>
              </w:rPr>
              <w:t>Safeguarding</w:t>
            </w:r>
          </w:p>
          <w:p w:rsidR="00576611" w:rsidRDefault="00793DA9" w:rsidP="00B65FD0">
            <w:pPr>
              <w:rPr>
                <w:rFonts w:cs="Arial"/>
              </w:rPr>
            </w:pPr>
            <w:r>
              <w:rPr>
                <w:rFonts w:cs="Arial"/>
              </w:rPr>
              <w:t>The overall trend for referrals, assessments, children with child protection plans and children in care is upwards and there is increasing pressure on the system</w:t>
            </w:r>
            <w:r w:rsidR="00EF6B7A">
              <w:rPr>
                <w:rFonts w:cs="Arial"/>
              </w:rPr>
              <w:t>.  This is combined with a relatively inexperienced social care workforce</w:t>
            </w:r>
            <w:r w:rsidR="00FE5C0C">
              <w:rPr>
                <w:rFonts w:cs="Arial"/>
              </w:rPr>
              <w:t>.  KO’M highlighted the need to try and work together to understand the needs of children and families</w:t>
            </w:r>
            <w:r w:rsidR="0037648D">
              <w:rPr>
                <w:rFonts w:cs="Arial"/>
              </w:rPr>
              <w:t xml:space="preserve"> and noted that they were looking closely at how they engage with partners although currently</w:t>
            </w:r>
            <w:r w:rsidR="00FE5C0C">
              <w:rPr>
                <w:rFonts w:cs="Arial"/>
              </w:rPr>
              <w:t xml:space="preserve"> they are having mixed success with both schools and health.  </w:t>
            </w:r>
            <w:r w:rsidR="0037648D">
              <w:rPr>
                <w:rFonts w:cs="Arial"/>
              </w:rPr>
              <w:t xml:space="preserve">They are also trying to create opportunities for reflective practice around individual ‘difficult’ cases.  </w:t>
            </w:r>
            <w:proofErr w:type="spellStart"/>
            <w:r w:rsidR="0037648D">
              <w:rPr>
                <w:rFonts w:cs="Arial"/>
              </w:rPr>
              <w:t>PMcL</w:t>
            </w:r>
            <w:proofErr w:type="spellEnd"/>
            <w:r w:rsidR="0037648D">
              <w:rPr>
                <w:rFonts w:cs="Arial"/>
              </w:rPr>
              <w:t xml:space="preserve"> agreed that they would continue the discussion outside of the meeting and set up separate meetings if appropriate. </w:t>
            </w:r>
          </w:p>
          <w:p w:rsidR="0037648D" w:rsidRDefault="0037648D" w:rsidP="00B65FD0">
            <w:pPr>
              <w:rPr>
                <w:rFonts w:cs="Arial"/>
              </w:rPr>
            </w:pPr>
          </w:p>
          <w:p w:rsidR="0037648D" w:rsidRPr="0037648D" w:rsidRDefault="0037648D" w:rsidP="00B65FD0">
            <w:pPr>
              <w:rPr>
                <w:rFonts w:cs="Arial"/>
                <w:b/>
              </w:rPr>
            </w:pPr>
            <w:r w:rsidRPr="0037648D">
              <w:rPr>
                <w:rFonts w:cs="Arial"/>
                <w:b/>
              </w:rPr>
              <w:t>Early Help</w:t>
            </w:r>
          </w:p>
          <w:p w:rsidR="0037648D" w:rsidRDefault="0037648D" w:rsidP="00B65FD0">
            <w:pPr>
              <w:rPr>
                <w:rFonts w:cs="Arial"/>
              </w:rPr>
            </w:pPr>
            <w:r>
              <w:rPr>
                <w:rFonts w:cs="Arial"/>
              </w:rPr>
              <w:t xml:space="preserve">EO’K reported that the new Families First Plus Teams have been established in all six Districts through the integration of the Targeted Support Teams and </w:t>
            </w:r>
            <w:r>
              <w:rPr>
                <w:rFonts w:cs="Arial"/>
              </w:rPr>
              <w:lastRenderedPageBreak/>
              <w:t xml:space="preserve">the Families First programme.  </w:t>
            </w:r>
            <w:r w:rsidR="00B56FEF">
              <w:rPr>
                <w:rFonts w:cs="Arial"/>
              </w:rPr>
              <w:t>Early Help w</w:t>
            </w:r>
            <w:r>
              <w:rPr>
                <w:rFonts w:cs="Arial"/>
              </w:rPr>
              <w:t>ill be a focus of the March meeting of GCP</w:t>
            </w:r>
            <w:r w:rsidR="00B56FEF">
              <w:rPr>
                <w:rFonts w:cs="Arial"/>
              </w:rPr>
              <w:t xml:space="preserve">.  </w:t>
            </w:r>
          </w:p>
          <w:p w:rsidR="00B56FEF" w:rsidRDefault="00B56FEF" w:rsidP="00B65FD0">
            <w:pPr>
              <w:rPr>
                <w:rFonts w:cs="Arial"/>
              </w:rPr>
            </w:pPr>
          </w:p>
          <w:p w:rsidR="00B56FEF" w:rsidRPr="00B56FEF" w:rsidRDefault="00B56FEF" w:rsidP="00B65FD0">
            <w:pPr>
              <w:rPr>
                <w:rFonts w:cs="Arial"/>
                <w:b/>
              </w:rPr>
            </w:pPr>
            <w:r w:rsidRPr="00B56FEF">
              <w:rPr>
                <w:rFonts w:cs="Arial"/>
                <w:b/>
              </w:rPr>
              <w:t>Domestic Abuse</w:t>
            </w:r>
          </w:p>
          <w:p w:rsidR="00B56FEF" w:rsidRDefault="00B56FEF" w:rsidP="00B65FD0">
            <w:pPr>
              <w:rPr>
                <w:rFonts w:cs="Arial"/>
              </w:rPr>
            </w:pPr>
            <w:r>
              <w:rPr>
                <w:rFonts w:cs="Arial"/>
              </w:rPr>
              <w:t>There has been a 19.1% increase in reports of domestic abuse to the police since January 2015</w:t>
            </w:r>
            <w:r w:rsidR="00FF0B7D">
              <w:rPr>
                <w:rFonts w:cs="Arial"/>
              </w:rPr>
              <w:t xml:space="preserve"> and the costs associated with domestic abuse are huge.  The provider, GDAS, has a wide ranging offer to meet diverse service user needs including a Young Person’s Independent Domestic Violence Advocate for adolescents and they work closely with partners such as local housing teams.  Commissioners are now working on a social impact bond to enable different ways of working with perpetrators.   </w:t>
            </w:r>
          </w:p>
          <w:p w:rsidR="00FF0B7D" w:rsidRDefault="00FF0B7D" w:rsidP="00B65FD0">
            <w:pPr>
              <w:rPr>
                <w:rFonts w:cs="Arial"/>
              </w:rPr>
            </w:pPr>
          </w:p>
          <w:p w:rsidR="00FE5C0C" w:rsidRPr="00FF0B7D" w:rsidRDefault="00FF0B7D" w:rsidP="00B65FD0">
            <w:pPr>
              <w:rPr>
                <w:rFonts w:cs="Arial"/>
                <w:b/>
              </w:rPr>
            </w:pPr>
            <w:r w:rsidRPr="00FF0B7D">
              <w:rPr>
                <w:rFonts w:cs="Arial"/>
                <w:b/>
              </w:rPr>
              <w:t>Asylum Seekers</w:t>
            </w:r>
          </w:p>
          <w:p w:rsidR="00FF0B7D" w:rsidRDefault="0030748C" w:rsidP="00B65FD0">
            <w:pPr>
              <w:rPr>
                <w:rFonts w:cs="Arial"/>
              </w:rPr>
            </w:pPr>
            <w:r>
              <w:rPr>
                <w:rFonts w:cs="Arial"/>
              </w:rPr>
              <w:t>Rising n</w:t>
            </w:r>
            <w:r w:rsidR="00FF0B7D">
              <w:rPr>
                <w:rFonts w:cs="Arial"/>
              </w:rPr>
              <w:t>umbers of unaccompanied asylum seekers</w:t>
            </w:r>
            <w:r>
              <w:rPr>
                <w:rFonts w:cs="Arial"/>
              </w:rPr>
              <w:t xml:space="preserve"> is a national issue and this is also reflected in an increase in numbers in Gloucestershire.  Gl</w:t>
            </w:r>
            <w:r w:rsidR="00FF0B7D">
              <w:rPr>
                <w:rFonts w:cs="Arial"/>
              </w:rPr>
              <w:t>oucestershire currently has 33 unaccompanied a</w:t>
            </w:r>
            <w:r>
              <w:rPr>
                <w:rFonts w:cs="Arial"/>
              </w:rPr>
              <w:t>sylum seekers aged 18 – 24 and 10 Children in Care.</w:t>
            </w:r>
          </w:p>
          <w:p w:rsidR="0030748C" w:rsidRDefault="0030748C" w:rsidP="00B65FD0">
            <w:pPr>
              <w:rPr>
                <w:rFonts w:cs="Arial"/>
              </w:rPr>
            </w:pPr>
          </w:p>
          <w:p w:rsidR="0030748C" w:rsidRPr="0030748C" w:rsidRDefault="0030748C" w:rsidP="00B65FD0">
            <w:pPr>
              <w:rPr>
                <w:rFonts w:cs="Arial"/>
                <w:b/>
              </w:rPr>
            </w:pPr>
            <w:r w:rsidRPr="0030748C">
              <w:rPr>
                <w:rFonts w:cs="Arial"/>
                <w:b/>
              </w:rPr>
              <w:t>Ofsted Update</w:t>
            </w:r>
          </w:p>
          <w:p w:rsidR="0030748C" w:rsidRDefault="003119A1" w:rsidP="00B65FD0">
            <w:pPr>
              <w:rPr>
                <w:rFonts w:cs="Arial"/>
              </w:rPr>
            </w:pPr>
            <w:r>
              <w:rPr>
                <w:rFonts w:cs="Arial"/>
              </w:rPr>
              <w:t>Gloucestershire is still waiting to be inspected by Ofsted under the Single Inspection Framework (SIF).  The outcome of consultations on a new joint themed area inspection framework is awaited.</w:t>
            </w:r>
            <w:r w:rsidR="008C3701">
              <w:rPr>
                <w:rFonts w:cs="Arial"/>
              </w:rPr>
              <w:t xml:space="preserve">  The new SEND inspection regime will commence in May 2016 with an emphasis on health.  The regime is very onerous on the health side and health partners are finding it challenging to respond – this has implications for our own Care Services and 2gether Trust.</w:t>
            </w:r>
          </w:p>
          <w:p w:rsidR="008C3701" w:rsidRDefault="008C3701" w:rsidP="00B65FD0">
            <w:pPr>
              <w:rPr>
                <w:rFonts w:cs="Arial"/>
              </w:rPr>
            </w:pPr>
          </w:p>
          <w:p w:rsidR="008C3701" w:rsidRPr="008C3701" w:rsidRDefault="008C3701" w:rsidP="00B65FD0">
            <w:pPr>
              <w:rPr>
                <w:rFonts w:cs="Arial"/>
                <w:b/>
              </w:rPr>
            </w:pPr>
            <w:r w:rsidRPr="008C3701">
              <w:rPr>
                <w:rFonts w:cs="Arial"/>
                <w:b/>
              </w:rPr>
              <w:t>Children and Young People’s Mental Health</w:t>
            </w:r>
          </w:p>
          <w:p w:rsidR="008C3701" w:rsidRDefault="008C3701" w:rsidP="00B65FD0">
            <w:pPr>
              <w:rPr>
                <w:rFonts w:cs="Arial"/>
              </w:rPr>
            </w:pPr>
            <w:r>
              <w:rPr>
                <w:rFonts w:cs="Arial"/>
              </w:rPr>
              <w:t xml:space="preserve">Gloucestershire’s Children and Young People’s Mental Health Transformation Plan is being led by the CCG and was developed in consultation with a wide range of stakeholders including members of GCP. </w:t>
            </w:r>
            <w:r w:rsidR="00572C4F">
              <w:rPr>
                <w:rFonts w:cs="Arial"/>
              </w:rPr>
              <w:t>NHS England have assured and accepted the Plan, praising the level of ambition, the governance arrangements and the excellent partnership arrangements with schools. Implementation will now begin</w:t>
            </w:r>
            <w:r w:rsidR="00EC603D">
              <w:rPr>
                <w:rFonts w:cs="Arial"/>
              </w:rPr>
              <w:t xml:space="preserve"> including an exciting pilot project with 18 – 24 year olds in Stroud and Berkley Vale</w:t>
            </w:r>
            <w:r w:rsidR="00572C4F">
              <w:rPr>
                <w:rFonts w:cs="Arial"/>
              </w:rPr>
              <w:t xml:space="preserve">.  </w:t>
            </w:r>
          </w:p>
          <w:p w:rsidR="00EC603D" w:rsidRDefault="00EC603D" w:rsidP="00B65FD0">
            <w:pPr>
              <w:rPr>
                <w:rFonts w:cs="Arial"/>
              </w:rPr>
            </w:pPr>
          </w:p>
          <w:p w:rsidR="00EC603D" w:rsidRPr="00EC603D" w:rsidRDefault="00EC603D" w:rsidP="00B65FD0">
            <w:pPr>
              <w:rPr>
                <w:rFonts w:cs="Arial"/>
                <w:b/>
              </w:rPr>
            </w:pPr>
            <w:r w:rsidRPr="00EC603D">
              <w:rPr>
                <w:rFonts w:cs="Arial"/>
                <w:b/>
              </w:rPr>
              <w:t>Public Health 0-5 Health Visiting Services</w:t>
            </w:r>
          </w:p>
          <w:p w:rsidR="00EC603D" w:rsidRDefault="00EC603D" w:rsidP="00B65FD0">
            <w:pPr>
              <w:rPr>
                <w:rFonts w:cs="Arial"/>
              </w:rPr>
            </w:pPr>
            <w:r>
              <w:rPr>
                <w:rFonts w:cs="Arial"/>
              </w:rPr>
              <w:t>As part of the Health and Social Care Act 2012 commissioning responsibility for Health Visiting Services for 0-5 year olds transferred across to the local authority on 1</w:t>
            </w:r>
            <w:r w:rsidRPr="00EC603D">
              <w:rPr>
                <w:rFonts w:cs="Arial"/>
                <w:vertAlign w:val="superscript"/>
              </w:rPr>
              <w:t>st</w:t>
            </w:r>
            <w:r>
              <w:rPr>
                <w:rFonts w:cs="Arial"/>
              </w:rPr>
              <w:t xml:space="preserve"> October 2015.  This has meant very little difference on the ground other than for a very few families who live near the borders of the CCG and/or GCC boundaries and to date there have been no reports of significant difficulties being experienced.</w:t>
            </w:r>
          </w:p>
          <w:p w:rsidR="00EC603D" w:rsidRDefault="00EC603D" w:rsidP="00B65FD0">
            <w:pPr>
              <w:rPr>
                <w:rFonts w:cs="Arial"/>
              </w:rPr>
            </w:pPr>
          </w:p>
          <w:p w:rsidR="00EC603D" w:rsidRPr="00EC603D" w:rsidRDefault="00EC603D" w:rsidP="00B65FD0">
            <w:pPr>
              <w:rPr>
                <w:rFonts w:cs="Arial"/>
                <w:b/>
              </w:rPr>
            </w:pPr>
            <w:r w:rsidRPr="00EC603D">
              <w:rPr>
                <w:rFonts w:cs="Arial"/>
                <w:b/>
              </w:rPr>
              <w:t>Devolution</w:t>
            </w:r>
          </w:p>
          <w:p w:rsidR="00576611" w:rsidRDefault="00EC603D" w:rsidP="00B65FD0">
            <w:pPr>
              <w:rPr>
                <w:rFonts w:cs="Arial"/>
              </w:rPr>
            </w:pPr>
            <w:r>
              <w:rPr>
                <w:rFonts w:cs="Arial"/>
              </w:rPr>
              <w:t xml:space="preserve">Gloucestershire’s detailed devolution bid was submitted in September.  The public service reform priorities which make up 50% of the bid focus on community safety and safeguarding and integrated health and social care.  MD noted that </w:t>
            </w:r>
            <w:r w:rsidR="007517BB">
              <w:rPr>
                <w:rFonts w:cs="Arial"/>
              </w:rPr>
              <w:t xml:space="preserve">although </w:t>
            </w:r>
            <w:r>
              <w:rPr>
                <w:rFonts w:cs="Arial"/>
              </w:rPr>
              <w:t>the bid has been well received</w:t>
            </w:r>
            <w:r w:rsidR="007517BB">
              <w:rPr>
                <w:rFonts w:cs="Arial"/>
              </w:rPr>
              <w:t>,</w:t>
            </w:r>
            <w:r>
              <w:rPr>
                <w:rFonts w:cs="Arial"/>
              </w:rPr>
              <w:t xml:space="preserve"> particularly the community safety</w:t>
            </w:r>
            <w:r w:rsidR="007517BB">
              <w:rPr>
                <w:rFonts w:cs="Arial"/>
              </w:rPr>
              <w:t xml:space="preserve"> element, more work was needed around governance.  They hoped the deal would be agreed in January 2016 but MD highlighted the fact that it was an iterative process and partners could keep looking at what other changes would benefit the County which we could bid for in the future.</w:t>
            </w:r>
          </w:p>
          <w:p w:rsidR="00576611" w:rsidRPr="000B4616" w:rsidRDefault="00576611" w:rsidP="00B65FD0">
            <w:pPr>
              <w:rPr>
                <w:rFonts w:cs="Arial"/>
              </w:rPr>
            </w:pPr>
          </w:p>
        </w:tc>
        <w:tc>
          <w:tcPr>
            <w:tcW w:w="911" w:type="dxa"/>
          </w:tcPr>
          <w:p w:rsidR="00AE034A" w:rsidRPr="005824E1" w:rsidRDefault="00AE034A" w:rsidP="0018484F">
            <w:pPr>
              <w:pStyle w:val="NoSpacing"/>
              <w:jc w:val="both"/>
              <w:rPr>
                <w:rStyle w:val="Strong"/>
              </w:rPr>
            </w:pPr>
          </w:p>
        </w:tc>
      </w:tr>
      <w:tr w:rsidR="002702E9" w:rsidRPr="000B4616" w:rsidTr="009C2EE8">
        <w:tc>
          <w:tcPr>
            <w:tcW w:w="644" w:type="dxa"/>
          </w:tcPr>
          <w:p w:rsidR="002702E9" w:rsidRPr="00F37407" w:rsidRDefault="002702E9" w:rsidP="0018484F">
            <w:pPr>
              <w:pStyle w:val="NoSpacing"/>
              <w:jc w:val="both"/>
              <w:rPr>
                <w:rStyle w:val="Strong"/>
              </w:rPr>
            </w:pPr>
            <w:r w:rsidRPr="00F37407">
              <w:rPr>
                <w:rStyle w:val="Strong"/>
              </w:rPr>
              <w:lastRenderedPageBreak/>
              <w:t>6.0</w:t>
            </w:r>
          </w:p>
        </w:tc>
        <w:tc>
          <w:tcPr>
            <w:tcW w:w="7939" w:type="dxa"/>
          </w:tcPr>
          <w:p w:rsidR="002702E9" w:rsidRPr="00F37407" w:rsidRDefault="007A1059" w:rsidP="001B74BC">
            <w:pPr>
              <w:rPr>
                <w:rStyle w:val="Strong"/>
              </w:rPr>
            </w:pPr>
            <w:r>
              <w:rPr>
                <w:rStyle w:val="Strong"/>
              </w:rPr>
              <w:t>Children and Young People’s Partnership Plan 2015 – 18: Quarter 2 Report</w:t>
            </w:r>
          </w:p>
        </w:tc>
        <w:tc>
          <w:tcPr>
            <w:tcW w:w="911" w:type="dxa"/>
          </w:tcPr>
          <w:p w:rsidR="002702E9" w:rsidRPr="005824E1" w:rsidRDefault="002702E9"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BF602C" w:rsidRPr="008F696F" w:rsidRDefault="00B20B6D" w:rsidP="00406471">
            <w:pPr>
              <w:rPr>
                <w:b/>
              </w:rPr>
            </w:pPr>
            <w:r w:rsidRPr="008F696F">
              <w:rPr>
                <w:b/>
              </w:rPr>
              <w:t>Priority 1: Children will thrive</w:t>
            </w:r>
          </w:p>
          <w:p w:rsidR="000D6C7D" w:rsidRDefault="00B20B6D" w:rsidP="00406471">
            <w:r>
              <w:t>JG noted that following feedback from schools and other partners it had been agreed that setting up an Early Help Information helpline would not be beneficial at this stage</w:t>
            </w:r>
            <w:r w:rsidR="007377E1">
              <w:t xml:space="preserve"> and the </w:t>
            </w:r>
            <w:r>
              <w:t xml:space="preserve">target for this will </w:t>
            </w:r>
            <w:r w:rsidR="007377E1">
              <w:t xml:space="preserve">need changing.  </w:t>
            </w:r>
          </w:p>
          <w:p w:rsidR="008F696F" w:rsidRDefault="008F696F" w:rsidP="00406471"/>
          <w:p w:rsidR="000D6C7D" w:rsidRDefault="007377E1" w:rsidP="00406471">
            <w:r>
              <w:t xml:space="preserve">Embedding the Positive Behaviour Support Service has been more difficult than expected with the timing not being good for training.  </w:t>
            </w:r>
            <w:r w:rsidR="008F696F">
              <w:t>The target related to levels of attendance in the lowest attaining schools has presented a challenge for schools following a change to the persistent absence thresholds in September 2015.</w:t>
            </w:r>
          </w:p>
          <w:p w:rsidR="00B20B6D" w:rsidRDefault="00B20B6D" w:rsidP="00406471"/>
          <w:p w:rsidR="008F696F" w:rsidRDefault="008F696F" w:rsidP="008F696F">
            <w:r>
              <w:t xml:space="preserve">JG reported that the SEND reforms are going well with positive feedback from parents.  </w:t>
            </w:r>
          </w:p>
          <w:p w:rsidR="008F696F" w:rsidRDefault="008F696F" w:rsidP="008F696F"/>
          <w:p w:rsidR="008F696F" w:rsidRPr="008F696F" w:rsidRDefault="008F696F" w:rsidP="008F696F">
            <w:pPr>
              <w:rPr>
                <w:b/>
              </w:rPr>
            </w:pPr>
            <w:r w:rsidRPr="008F696F">
              <w:rPr>
                <w:b/>
              </w:rPr>
              <w:t>Priority 2: Children will thrive with help</w:t>
            </w:r>
          </w:p>
          <w:p w:rsidR="00B20B6D" w:rsidRDefault="00CF3E52" w:rsidP="00406471">
            <w:r>
              <w:t>Progress in relation to this card was covered under other agenda items.</w:t>
            </w:r>
          </w:p>
          <w:p w:rsidR="00CF3E52" w:rsidRDefault="00CF3E52" w:rsidP="00406471"/>
          <w:p w:rsidR="00CF3E52" w:rsidRPr="00CF3E52" w:rsidRDefault="00CF3E52" w:rsidP="00406471">
            <w:pPr>
              <w:rPr>
                <w:b/>
              </w:rPr>
            </w:pPr>
            <w:r w:rsidRPr="00CF3E52">
              <w:rPr>
                <w:b/>
              </w:rPr>
              <w:t>Priority 3: Children will thrive with specialist help</w:t>
            </w:r>
          </w:p>
          <w:p w:rsidR="00B20B6D" w:rsidRDefault="00CF3E52" w:rsidP="00406471">
            <w:r>
              <w:t>The vulnerability screening tool is on track and currently in testing phase.  It won’t solve all problems but will help guide you through appropriate conversations.  It has received positive comments by HMIC in their vulnerability inspection.</w:t>
            </w:r>
          </w:p>
          <w:p w:rsidR="00CF3E52" w:rsidRDefault="00CF3E52" w:rsidP="00406471"/>
          <w:p w:rsidR="00CF3E52" w:rsidRDefault="00CF3E52" w:rsidP="00406471">
            <w:r>
              <w:t>The Reunification project</w:t>
            </w:r>
            <w:r w:rsidR="0086675C">
              <w:t xml:space="preserve"> is trying to make it safer for children to stay at home.  C</w:t>
            </w:r>
            <w:r w:rsidR="00C77677">
              <w:t xml:space="preserve">hildren who have the appropriate package of support </w:t>
            </w:r>
            <w:r w:rsidR="0086675C">
              <w:t xml:space="preserve">tend </w:t>
            </w:r>
            <w:r w:rsidR="00C77677">
              <w:t xml:space="preserve">to stay at home.  </w:t>
            </w:r>
            <w:r w:rsidR="0086675C">
              <w:t xml:space="preserve">The project experienced delay due to issues recruiting staff but the team is now in place.  </w:t>
            </w:r>
          </w:p>
          <w:p w:rsidR="00C77677" w:rsidRDefault="00C77677" w:rsidP="00406471"/>
          <w:p w:rsidR="00C77677" w:rsidRPr="00C77677" w:rsidRDefault="00C77677" w:rsidP="00406471">
            <w:pPr>
              <w:rPr>
                <w:b/>
              </w:rPr>
            </w:pPr>
            <w:r w:rsidRPr="00C77677">
              <w:rPr>
                <w:b/>
              </w:rPr>
              <w:t>Priority 4: We will work well together</w:t>
            </w:r>
          </w:p>
          <w:p w:rsidR="00C77677" w:rsidRDefault="0086675C" w:rsidP="00406471">
            <w:r>
              <w:t>Children and young people have been actively involved in a number of developments including the DfE Innovation projects on supporting and safeguarding young people and the CYP Mental Health Transformation Plan.  Tessa Harris, a representative from the Young People Ambassadors explained that there were fifteen Ambassadors from a variety of backgrounds.  The Ambas</w:t>
            </w:r>
            <w:r w:rsidR="00577993">
              <w:t>sadors got involved in a variety of wa</w:t>
            </w:r>
            <w:r w:rsidR="00BF698D">
              <w:t>ys including participating in</w:t>
            </w:r>
            <w:r w:rsidR="00577993">
              <w:t xml:space="preserve"> workshops</w:t>
            </w:r>
            <w:r w:rsidR="00BF698D">
              <w:t xml:space="preserve"> and becoming part of evaluation panels.  KF asked if an Ambassador could attend one of the CCG Governing Body meetings</w:t>
            </w:r>
            <w:r w:rsidR="00615DF4">
              <w:t>.  TH advised that she should contact the Children and Young People Participation Team at GCC.</w:t>
            </w:r>
          </w:p>
          <w:p w:rsidR="00615DF4" w:rsidRDefault="00615DF4" w:rsidP="00406471"/>
          <w:p w:rsidR="00615DF4" w:rsidRDefault="00615DF4" w:rsidP="00406471">
            <w:r>
              <w:t>The MASH has moved near to Waterwells but continues to operate for specific areas only due to resource and capacity issues.  A plan is to be presented at the December MASH Board for roll out across the County.</w:t>
            </w:r>
          </w:p>
          <w:p w:rsidR="00B20B6D" w:rsidRPr="000B4616" w:rsidRDefault="00B20B6D" w:rsidP="00406471"/>
        </w:tc>
        <w:tc>
          <w:tcPr>
            <w:tcW w:w="911" w:type="dxa"/>
          </w:tcPr>
          <w:p w:rsidR="0078225B" w:rsidRPr="005824E1" w:rsidRDefault="0078225B" w:rsidP="0018484F">
            <w:pPr>
              <w:pStyle w:val="NoSpacing"/>
              <w:jc w:val="both"/>
              <w:rPr>
                <w:rStyle w:val="Strong"/>
              </w:rPr>
            </w:pPr>
          </w:p>
        </w:tc>
      </w:tr>
      <w:tr w:rsidR="002702E9" w:rsidRPr="000B4616" w:rsidTr="009C2EE8">
        <w:tc>
          <w:tcPr>
            <w:tcW w:w="644" w:type="dxa"/>
          </w:tcPr>
          <w:p w:rsidR="002702E9" w:rsidRPr="000B4616" w:rsidRDefault="002702E9" w:rsidP="0018484F">
            <w:pPr>
              <w:pStyle w:val="NoSpacing"/>
              <w:jc w:val="both"/>
              <w:rPr>
                <w:rFonts w:cs="Arial"/>
                <w:sz w:val="22"/>
              </w:rPr>
            </w:pPr>
          </w:p>
        </w:tc>
        <w:tc>
          <w:tcPr>
            <w:tcW w:w="7939" w:type="dxa"/>
          </w:tcPr>
          <w:p w:rsidR="002702E9" w:rsidRDefault="002702E9" w:rsidP="00683714">
            <w:pPr>
              <w:pStyle w:val="NoSpacing"/>
              <w:jc w:val="both"/>
              <w:rPr>
                <w:rStyle w:val="Strong"/>
                <w:rFonts w:cs="Arial"/>
                <w:sz w:val="22"/>
              </w:rPr>
            </w:pPr>
            <w:r w:rsidRPr="000B4616">
              <w:rPr>
                <w:rStyle w:val="Strong"/>
                <w:rFonts w:cs="Arial"/>
                <w:sz w:val="22"/>
              </w:rPr>
              <w:t>Date of next meeting:</w:t>
            </w:r>
          </w:p>
          <w:p w:rsidR="007D6CC3" w:rsidRDefault="007D6CC3" w:rsidP="00683714">
            <w:pPr>
              <w:pStyle w:val="NoSpacing"/>
              <w:jc w:val="both"/>
              <w:rPr>
                <w:rStyle w:val="Strong"/>
                <w:rFonts w:cs="Arial"/>
                <w:sz w:val="22"/>
              </w:rPr>
            </w:pPr>
          </w:p>
          <w:p w:rsidR="002702E9" w:rsidRPr="007A1059" w:rsidRDefault="007A1059" w:rsidP="007A1059">
            <w:pPr>
              <w:pStyle w:val="NoSpacing"/>
              <w:numPr>
                <w:ilvl w:val="0"/>
                <w:numId w:val="13"/>
              </w:numPr>
              <w:jc w:val="both"/>
              <w:rPr>
                <w:rStyle w:val="Strong"/>
                <w:rFonts w:cs="Arial"/>
                <w:b w:val="0"/>
                <w:sz w:val="22"/>
              </w:rPr>
            </w:pPr>
            <w:r w:rsidRPr="007A1059">
              <w:rPr>
                <w:rStyle w:val="Strong"/>
                <w:rFonts w:cs="Arial"/>
                <w:b w:val="0"/>
                <w:sz w:val="22"/>
              </w:rPr>
              <w:t>Wednesday 27</w:t>
            </w:r>
            <w:r w:rsidRPr="007A1059">
              <w:rPr>
                <w:rStyle w:val="Strong"/>
                <w:rFonts w:cs="Arial"/>
                <w:b w:val="0"/>
                <w:sz w:val="22"/>
                <w:vertAlign w:val="superscript"/>
              </w:rPr>
              <w:t>th</w:t>
            </w:r>
            <w:r w:rsidRPr="007A1059">
              <w:rPr>
                <w:rStyle w:val="Strong"/>
                <w:rFonts w:cs="Arial"/>
                <w:b w:val="0"/>
                <w:sz w:val="22"/>
              </w:rPr>
              <w:t xml:space="preserve"> April 2016, 9:30 – 11:30am , Shire Hall</w:t>
            </w:r>
          </w:p>
          <w:p w:rsidR="007A1059" w:rsidRPr="007A1059" w:rsidRDefault="007A1059" w:rsidP="00683714">
            <w:pPr>
              <w:pStyle w:val="NoSpacing"/>
              <w:jc w:val="both"/>
              <w:rPr>
                <w:rStyle w:val="Strong"/>
                <w:rFonts w:cs="Arial"/>
                <w:b w:val="0"/>
                <w:sz w:val="22"/>
              </w:rPr>
            </w:pPr>
          </w:p>
          <w:p w:rsidR="007A1059" w:rsidRPr="007A1059" w:rsidRDefault="007A1059" w:rsidP="007A1059">
            <w:pPr>
              <w:pStyle w:val="NoSpacing"/>
              <w:numPr>
                <w:ilvl w:val="0"/>
                <w:numId w:val="13"/>
              </w:numPr>
              <w:jc w:val="both"/>
              <w:rPr>
                <w:rStyle w:val="Strong"/>
                <w:rFonts w:cs="Arial"/>
                <w:b w:val="0"/>
                <w:sz w:val="22"/>
              </w:rPr>
            </w:pPr>
            <w:r w:rsidRPr="007A1059">
              <w:rPr>
                <w:rStyle w:val="Strong"/>
                <w:rFonts w:cs="Arial"/>
                <w:b w:val="0"/>
                <w:sz w:val="22"/>
              </w:rPr>
              <w:t>Wednesday 9</w:t>
            </w:r>
            <w:r w:rsidRPr="007A1059">
              <w:rPr>
                <w:rStyle w:val="Strong"/>
                <w:rFonts w:cs="Arial"/>
                <w:b w:val="0"/>
                <w:sz w:val="22"/>
                <w:vertAlign w:val="superscript"/>
              </w:rPr>
              <w:t>th</w:t>
            </w:r>
            <w:r w:rsidRPr="007A1059">
              <w:rPr>
                <w:rStyle w:val="Strong"/>
                <w:rFonts w:cs="Arial"/>
                <w:b w:val="0"/>
                <w:sz w:val="22"/>
              </w:rPr>
              <w:t xml:space="preserve"> November 2016, 11:00 – 1:00pm, Shire Hall</w:t>
            </w:r>
          </w:p>
          <w:p w:rsidR="002702E9" w:rsidRPr="000B4616" w:rsidRDefault="002702E9" w:rsidP="004065DA">
            <w:pPr>
              <w:pStyle w:val="NoSpacing"/>
              <w:jc w:val="both"/>
              <w:rPr>
                <w:rFonts w:cs="Arial"/>
                <w:sz w:val="22"/>
              </w:rPr>
            </w:pPr>
          </w:p>
        </w:tc>
        <w:tc>
          <w:tcPr>
            <w:tcW w:w="911" w:type="dxa"/>
          </w:tcPr>
          <w:p w:rsidR="002702E9" w:rsidRPr="000B4616" w:rsidRDefault="002702E9" w:rsidP="0018484F">
            <w:pPr>
              <w:pStyle w:val="NoSpacing"/>
              <w:jc w:val="both"/>
              <w:rPr>
                <w:rFonts w:cs="Arial"/>
                <w:sz w:val="22"/>
              </w:rPr>
            </w:pPr>
          </w:p>
        </w:tc>
      </w:tr>
    </w:tbl>
    <w:p w:rsidR="00123A9A" w:rsidRDefault="00123A9A" w:rsidP="00881AF7">
      <w:pPr>
        <w:jc w:val="both"/>
      </w:pPr>
    </w:p>
    <w:sectPr w:rsidR="00123A9A" w:rsidSect="00D303F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B33" w:rsidRDefault="000A6B33" w:rsidP="002B3D2A">
      <w:r>
        <w:separator/>
      </w:r>
    </w:p>
  </w:endnote>
  <w:endnote w:type="continuationSeparator" w:id="0">
    <w:p w:rsidR="000A6B33" w:rsidRDefault="000A6B33" w:rsidP="002B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78813"/>
      <w:docPartObj>
        <w:docPartGallery w:val="Page Numbers (Bottom of Page)"/>
        <w:docPartUnique/>
      </w:docPartObj>
    </w:sdtPr>
    <w:sdtEndPr>
      <w:rPr>
        <w:sz w:val="18"/>
      </w:rPr>
    </w:sdtEndPr>
    <w:sdtContent>
      <w:p w:rsidR="002073A6" w:rsidRPr="002B3D2A" w:rsidRDefault="005878BD">
        <w:pPr>
          <w:pStyle w:val="Footer"/>
          <w:jc w:val="center"/>
          <w:rPr>
            <w:sz w:val="18"/>
          </w:rPr>
        </w:pPr>
        <w:r w:rsidRPr="002B3D2A">
          <w:rPr>
            <w:sz w:val="18"/>
          </w:rPr>
          <w:fldChar w:fldCharType="begin"/>
        </w:r>
        <w:r w:rsidR="002073A6" w:rsidRPr="002B3D2A">
          <w:rPr>
            <w:sz w:val="18"/>
          </w:rPr>
          <w:instrText xml:space="preserve"> PAGE   \* MERGEFORMAT </w:instrText>
        </w:r>
        <w:r w:rsidRPr="002B3D2A">
          <w:rPr>
            <w:sz w:val="18"/>
          </w:rPr>
          <w:fldChar w:fldCharType="separate"/>
        </w:r>
        <w:r w:rsidR="000D30EE">
          <w:rPr>
            <w:noProof/>
            <w:sz w:val="18"/>
          </w:rPr>
          <w:t>1</w:t>
        </w:r>
        <w:r w:rsidRPr="002B3D2A">
          <w:rPr>
            <w:sz w:val="18"/>
          </w:rPr>
          <w:fldChar w:fldCharType="end"/>
        </w:r>
      </w:p>
    </w:sdtContent>
  </w:sdt>
  <w:p w:rsidR="002073A6" w:rsidRDefault="0020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B33" w:rsidRDefault="000A6B33" w:rsidP="002B3D2A">
      <w:r>
        <w:separator/>
      </w:r>
    </w:p>
  </w:footnote>
  <w:footnote w:type="continuationSeparator" w:id="0">
    <w:p w:rsidR="000A6B33" w:rsidRDefault="000A6B33" w:rsidP="002B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E" w:rsidRDefault="000D30EE" w:rsidP="000D30EE">
    <w:pPr>
      <w:pStyle w:val="Header"/>
      <w:jc w:val="right"/>
    </w:pPr>
    <w:r>
      <w:t>GCP Paper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FC7"/>
    <w:multiLevelType w:val="hybridMultilevel"/>
    <w:tmpl w:val="0990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57180"/>
    <w:multiLevelType w:val="hybridMultilevel"/>
    <w:tmpl w:val="13A26A60"/>
    <w:lvl w:ilvl="0" w:tplc="57188F96">
      <w:start w:val="1"/>
      <w:numFmt w:val="bullet"/>
      <w:lvlText w:val="•"/>
      <w:lvlJc w:val="left"/>
      <w:pPr>
        <w:tabs>
          <w:tab w:val="num" w:pos="720"/>
        </w:tabs>
        <w:ind w:left="720" w:hanging="360"/>
      </w:pPr>
      <w:rPr>
        <w:rFonts w:ascii="Arial" w:hAnsi="Arial" w:hint="default"/>
      </w:rPr>
    </w:lvl>
    <w:lvl w:ilvl="1" w:tplc="E520A038" w:tentative="1">
      <w:start w:val="1"/>
      <w:numFmt w:val="bullet"/>
      <w:lvlText w:val="•"/>
      <w:lvlJc w:val="left"/>
      <w:pPr>
        <w:tabs>
          <w:tab w:val="num" w:pos="1440"/>
        </w:tabs>
        <w:ind w:left="1440" w:hanging="360"/>
      </w:pPr>
      <w:rPr>
        <w:rFonts w:ascii="Arial" w:hAnsi="Arial" w:hint="default"/>
      </w:rPr>
    </w:lvl>
    <w:lvl w:ilvl="2" w:tplc="FDA43B04" w:tentative="1">
      <w:start w:val="1"/>
      <w:numFmt w:val="bullet"/>
      <w:lvlText w:val="•"/>
      <w:lvlJc w:val="left"/>
      <w:pPr>
        <w:tabs>
          <w:tab w:val="num" w:pos="2160"/>
        </w:tabs>
        <w:ind w:left="2160" w:hanging="360"/>
      </w:pPr>
      <w:rPr>
        <w:rFonts w:ascii="Arial" w:hAnsi="Arial" w:hint="default"/>
      </w:rPr>
    </w:lvl>
    <w:lvl w:ilvl="3" w:tplc="5284EA32" w:tentative="1">
      <w:start w:val="1"/>
      <w:numFmt w:val="bullet"/>
      <w:lvlText w:val="•"/>
      <w:lvlJc w:val="left"/>
      <w:pPr>
        <w:tabs>
          <w:tab w:val="num" w:pos="2880"/>
        </w:tabs>
        <w:ind w:left="2880" w:hanging="360"/>
      </w:pPr>
      <w:rPr>
        <w:rFonts w:ascii="Arial" w:hAnsi="Arial" w:hint="default"/>
      </w:rPr>
    </w:lvl>
    <w:lvl w:ilvl="4" w:tplc="23B8B3CE" w:tentative="1">
      <w:start w:val="1"/>
      <w:numFmt w:val="bullet"/>
      <w:lvlText w:val="•"/>
      <w:lvlJc w:val="left"/>
      <w:pPr>
        <w:tabs>
          <w:tab w:val="num" w:pos="3600"/>
        </w:tabs>
        <w:ind w:left="3600" w:hanging="360"/>
      </w:pPr>
      <w:rPr>
        <w:rFonts w:ascii="Arial" w:hAnsi="Arial" w:hint="default"/>
      </w:rPr>
    </w:lvl>
    <w:lvl w:ilvl="5" w:tplc="8F2CF028" w:tentative="1">
      <w:start w:val="1"/>
      <w:numFmt w:val="bullet"/>
      <w:lvlText w:val="•"/>
      <w:lvlJc w:val="left"/>
      <w:pPr>
        <w:tabs>
          <w:tab w:val="num" w:pos="4320"/>
        </w:tabs>
        <w:ind w:left="4320" w:hanging="360"/>
      </w:pPr>
      <w:rPr>
        <w:rFonts w:ascii="Arial" w:hAnsi="Arial" w:hint="default"/>
      </w:rPr>
    </w:lvl>
    <w:lvl w:ilvl="6" w:tplc="D78CB7D0" w:tentative="1">
      <w:start w:val="1"/>
      <w:numFmt w:val="bullet"/>
      <w:lvlText w:val="•"/>
      <w:lvlJc w:val="left"/>
      <w:pPr>
        <w:tabs>
          <w:tab w:val="num" w:pos="5040"/>
        </w:tabs>
        <w:ind w:left="5040" w:hanging="360"/>
      </w:pPr>
      <w:rPr>
        <w:rFonts w:ascii="Arial" w:hAnsi="Arial" w:hint="default"/>
      </w:rPr>
    </w:lvl>
    <w:lvl w:ilvl="7" w:tplc="5B064A5E" w:tentative="1">
      <w:start w:val="1"/>
      <w:numFmt w:val="bullet"/>
      <w:lvlText w:val="•"/>
      <w:lvlJc w:val="left"/>
      <w:pPr>
        <w:tabs>
          <w:tab w:val="num" w:pos="5760"/>
        </w:tabs>
        <w:ind w:left="5760" w:hanging="360"/>
      </w:pPr>
      <w:rPr>
        <w:rFonts w:ascii="Arial" w:hAnsi="Arial" w:hint="default"/>
      </w:rPr>
    </w:lvl>
    <w:lvl w:ilvl="8" w:tplc="87A420C0" w:tentative="1">
      <w:start w:val="1"/>
      <w:numFmt w:val="bullet"/>
      <w:lvlText w:val="•"/>
      <w:lvlJc w:val="left"/>
      <w:pPr>
        <w:tabs>
          <w:tab w:val="num" w:pos="6480"/>
        </w:tabs>
        <w:ind w:left="6480" w:hanging="360"/>
      </w:pPr>
      <w:rPr>
        <w:rFonts w:ascii="Arial" w:hAnsi="Arial" w:hint="default"/>
      </w:rPr>
    </w:lvl>
  </w:abstractNum>
  <w:abstractNum w:abstractNumId="2">
    <w:nsid w:val="042B1F7B"/>
    <w:multiLevelType w:val="hybridMultilevel"/>
    <w:tmpl w:val="E3F61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BD4DFE"/>
    <w:multiLevelType w:val="hybridMultilevel"/>
    <w:tmpl w:val="B0FEA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050737"/>
    <w:multiLevelType w:val="hybridMultilevel"/>
    <w:tmpl w:val="04743A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ED92576"/>
    <w:multiLevelType w:val="hybridMultilevel"/>
    <w:tmpl w:val="912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DF05AE"/>
    <w:multiLevelType w:val="hybridMultilevel"/>
    <w:tmpl w:val="3CE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403C94"/>
    <w:multiLevelType w:val="hybridMultilevel"/>
    <w:tmpl w:val="EECCBB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642661"/>
    <w:multiLevelType w:val="hybridMultilevel"/>
    <w:tmpl w:val="284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628C"/>
    <w:multiLevelType w:val="hybridMultilevel"/>
    <w:tmpl w:val="6FCA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E86131"/>
    <w:multiLevelType w:val="hybridMultilevel"/>
    <w:tmpl w:val="EA2C5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135517"/>
    <w:multiLevelType w:val="hybridMultilevel"/>
    <w:tmpl w:val="2198416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5857FED"/>
    <w:multiLevelType w:val="hybridMultilevel"/>
    <w:tmpl w:val="D4C2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630DF2"/>
    <w:multiLevelType w:val="hybridMultilevel"/>
    <w:tmpl w:val="513A8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5CB21A1"/>
    <w:multiLevelType w:val="hybridMultilevel"/>
    <w:tmpl w:val="C7A6E24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E43B4B"/>
    <w:multiLevelType w:val="hybridMultilevel"/>
    <w:tmpl w:val="D15A0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0"/>
  </w:num>
  <w:num w:numId="4">
    <w:abstractNumId w:val="4"/>
  </w:num>
  <w:num w:numId="5">
    <w:abstractNumId w:val="9"/>
  </w:num>
  <w:num w:numId="6">
    <w:abstractNumId w:val="2"/>
  </w:num>
  <w:num w:numId="7">
    <w:abstractNumId w:val="11"/>
  </w:num>
  <w:num w:numId="8">
    <w:abstractNumId w:val="14"/>
  </w:num>
  <w:num w:numId="9">
    <w:abstractNumId w:val="5"/>
  </w:num>
  <w:num w:numId="10">
    <w:abstractNumId w:val="12"/>
  </w:num>
  <w:num w:numId="11">
    <w:abstractNumId w:val="3"/>
  </w:num>
  <w:num w:numId="12">
    <w:abstractNumId w:val="15"/>
  </w:num>
  <w:num w:numId="13">
    <w:abstractNumId w:val="8"/>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123A9A"/>
    <w:rsid w:val="00000B86"/>
    <w:rsid w:val="00010F8F"/>
    <w:rsid w:val="00015CA2"/>
    <w:rsid w:val="00023A26"/>
    <w:rsid w:val="0002423F"/>
    <w:rsid w:val="00034D30"/>
    <w:rsid w:val="00042C71"/>
    <w:rsid w:val="000438C0"/>
    <w:rsid w:val="00043FFC"/>
    <w:rsid w:val="00051069"/>
    <w:rsid w:val="00052830"/>
    <w:rsid w:val="00063FB9"/>
    <w:rsid w:val="00065048"/>
    <w:rsid w:val="000762ED"/>
    <w:rsid w:val="00076739"/>
    <w:rsid w:val="0009737C"/>
    <w:rsid w:val="00097DA2"/>
    <w:rsid w:val="000A6B33"/>
    <w:rsid w:val="000B0728"/>
    <w:rsid w:val="000B4616"/>
    <w:rsid w:val="000B6334"/>
    <w:rsid w:val="000B702A"/>
    <w:rsid w:val="000B7A60"/>
    <w:rsid w:val="000C0A52"/>
    <w:rsid w:val="000C2B8A"/>
    <w:rsid w:val="000C5878"/>
    <w:rsid w:val="000D14FE"/>
    <w:rsid w:val="000D21B0"/>
    <w:rsid w:val="000D30EE"/>
    <w:rsid w:val="000D3111"/>
    <w:rsid w:val="000D563D"/>
    <w:rsid w:val="000D6C7D"/>
    <w:rsid w:val="000E25F4"/>
    <w:rsid w:val="000F5370"/>
    <w:rsid w:val="00102AD4"/>
    <w:rsid w:val="00106075"/>
    <w:rsid w:val="001064E8"/>
    <w:rsid w:val="00107E8D"/>
    <w:rsid w:val="00110C94"/>
    <w:rsid w:val="00123A9A"/>
    <w:rsid w:val="00125C52"/>
    <w:rsid w:val="001301FC"/>
    <w:rsid w:val="00137A49"/>
    <w:rsid w:val="00140289"/>
    <w:rsid w:val="001408E6"/>
    <w:rsid w:val="00146724"/>
    <w:rsid w:val="00152B3A"/>
    <w:rsid w:val="001566C7"/>
    <w:rsid w:val="001575F6"/>
    <w:rsid w:val="001627E9"/>
    <w:rsid w:val="00171DD4"/>
    <w:rsid w:val="00173895"/>
    <w:rsid w:val="00174072"/>
    <w:rsid w:val="00183681"/>
    <w:rsid w:val="0018484F"/>
    <w:rsid w:val="001848D6"/>
    <w:rsid w:val="00193EBC"/>
    <w:rsid w:val="001A32AC"/>
    <w:rsid w:val="001B4C80"/>
    <w:rsid w:val="001B74BC"/>
    <w:rsid w:val="001C46BD"/>
    <w:rsid w:val="001C5C61"/>
    <w:rsid w:val="001D0C91"/>
    <w:rsid w:val="001D427E"/>
    <w:rsid w:val="001D4402"/>
    <w:rsid w:val="001D4B28"/>
    <w:rsid w:val="001D4C53"/>
    <w:rsid w:val="001E4612"/>
    <w:rsid w:val="001E63A6"/>
    <w:rsid w:val="001E6822"/>
    <w:rsid w:val="001F122C"/>
    <w:rsid w:val="0020209E"/>
    <w:rsid w:val="002073A6"/>
    <w:rsid w:val="00214440"/>
    <w:rsid w:val="00216128"/>
    <w:rsid w:val="0022108E"/>
    <w:rsid w:val="00233F48"/>
    <w:rsid w:val="00235421"/>
    <w:rsid w:val="0024080E"/>
    <w:rsid w:val="002420C2"/>
    <w:rsid w:val="00246E6E"/>
    <w:rsid w:val="00250312"/>
    <w:rsid w:val="00251963"/>
    <w:rsid w:val="00252211"/>
    <w:rsid w:val="002567F2"/>
    <w:rsid w:val="002702E9"/>
    <w:rsid w:val="0028446F"/>
    <w:rsid w:val="002856D7"/>
    <w:rsid w:val="00291185"/>
    <w:rsid w:val="00293EDE"/>
    <w:rsid w:val="00294C2F"/>
    <w:rsid w:val="002A71E7"/>
    <w:rsid w:val="002B150C"/>
    <w:rsid w:val="002B3D2A"/>
    <w:rsid w:val="002B5BED"/>
    <w:rsid w:val="002C105A"/>
    <w:rsid w:val="002C2C6F"/>
    <w:rsid w:val="002D5390"/>
    <w:rsid w:val="002D6082"/>
    <w:rsid w:val="002E013D"/>
    <w:rsid w:val="002E3E0A"/>
    <w:rsid w:val="002E3FDF"/>
    <w:rsid w:val="002E56B4"/>
    <w:rsid w:val="002F1748"/>
    <w:rsid w:val="002F59E4"/>
    <w:rsid w:val="0030748C"/>
    <w:rsid w:val="00307DA4"/>
    <w:rsid w:val="003119A1"/>
    <w:rsid w:val="003121E4"/>
    <w:rsid w:val="00332DB3"/>
    <w:rsid w:val="00341D83"/>
    <w:rsid w:val="00343C20"/>
    <w:rsid w:val="00356345"/>
    <w:rsid w:val="00357D20"/>
    <w:rsid w:val="003652E1"/>
    <w:rsid w:val="00365BEB"/>
    <w:rsid w:val="00374A8C"/>
    <w:rsid w:val="00374F48"/>
    <w:rsid w:val="0037648D"/>
    <w:rsid w:val="00376FAF"/>
    <w:rsid w:val="00383811"/>
    <w:rsid w:val="00387CCE"/>
    <w:rsid w:val="003A2960"/>
    <w:rsid w:val="003A34C3"/>
    <w:rsid w:val="003B1075"/>
    <w:rsid w:val="003B55B3"/>
    <w:rsid w:val="003B60D1"/>
    <w:rsid w:val="003B62DD"/>
    <w:rsid w:val="003D4EAE"/>
    <w:rsid w:val="003D7ED5"/>
    <w:rsid w:val="003E3916"/>
    <w:rsid w:val="003E549B"/>
    <w:rsid w:val="003F0C1E"/>
    <w:rsid w:val="003F244A"/>
    <w:rsid w:val="003F54F4"/>
    <w:rsid w:val="004005C1"/>
    <w:rsid w:val="00406471"/>
    <w:rsid w:val="004065DA"/>
    <w:rsid w:val="0040692A"/>
    <w:rsid w:val="00420ACD"/>
    <w:rsid w:val="00431B24"/>
    <w:rsid w:val="004329ED"/>
    <w:rsid w:val="00445C8D"/>
    <w:rsid w:val="00451B25"/>
    <w:rsid w:val="00463739"/>
    <w:rsid w:val="00474123"/>
    <w:rsid w:val="00476BEA"/>
    <w:rsid w:val="0048083A"/>
    <w:rsid w:val="00485FCE"/>
    <w:rsid w:val="0049066F"/>
    <w:rsid w:val="004938CA"/>
    <w:rsid w:val="00496B4E"/>
    <w:rsid w:val="004A75C5"/>
    <w:rsid w:val="004B07A2"/>
    <w:rsid w:val="004B12C9"/>
    <w:rsid w:val="004C5A45"/>
    <w:rsid w:val="004E57DD"/>
    <w:rsid w:val="004F4B92"/>
    <w:rsid w:val="00510F68"/>
    <w:rsid w:val="005151B5"/>
    <w:rsid w:val="00515816"/>
    <w:rsid w:val="00515E76"/>
    <w:rsid w:val="00516704"/>
    <w:rsid w:val="005170FE"/>
    <w:rsid w:val="00522413"/>
    <w:rsid w:val="00524603"/>
    <w:rsid w:val="00531914"/>
    <w:rsid w:val="0054779B"/>
    <w:rsid w:val="005538A0"/>
    <w:rsid w:val="0057039B"/>
    <w:rsid w:val="00571360"/>
    <w:rsid w:val="00572C4F"/>
    <w:rsid w:val="00574096"/>
    <w:rsid w:val="00575AC3"/>
    <w:rsid w:val="00576611"/>
    <w:rsid w:val="00577993"/>
    <w:rsid w:val="00581F04"/>
    <w:rsid w:val="005824E1"/>
    <w:rsid w:val="00584AC2"/>
    <w:rsid w:val="005878BD"/>
    <w:rsid w:val="005B0522"/>
    <w:rsid w:val="005C074A"/>
    <w:rsid w:val="005C12D2"/>
    <w:rsid w:val="005C3E9A"/>
    <w:rsid w:val="005D5AC2"/>
    <w:rsid w:val="005E6BA5"/>
    <w:rsid w:val="0060288C"/>
    <w:rsid w:val="006042B7"/>
    <w:rsid w:val="00612A9D"/>
    <w:rsid w:val="00615DF4"/>
    <w:rsid w:val="00617ED2"/>
    <w:rsid w:val="00620E91"/>
    <w:rsid w:val="0062201C"/>
    <w:rsid w:val="00623557"/>
    <w:rsid w:val="00626A0F"/>
    <w:rsid w:val="00627642"/>
    <w:rsid w:val="00637847"/>
    <w:rsid w:val="006428D7"/>
    <w:rsid w:val="0064367D"/>
    <w:rsid w:val="006451FB"/>
    <w:rsid w:val="0065108F"/>
    <w:rsid w:val="006613C9"/>
    <w:rsid w:val="0066312B"/>
    <w:rsid w:val="00664933"/>
    <w:rsid w:val="0068150B"/>
    <w:rsid w:val="00682B3D"/>
    <w:rsid w:val="00683714"/>
    <w:rsid w:val="00683BBA"/>
    <w:rsid w:val="00683EF0"/>
    <w:rsid w:val="006A5FAF"/>
    <w:rsid w:val="006A6584"/>
    <w:rsid w:val="006B0496"/>
    <w:rsid w:val="006B620B"/>
    <w:rsid w:val="006C7391"/>
    <w:rsid w:val="006D0774"/>
    <w:rsid w:val="006D31BD"/>
    <w:rsid w:val="006D50B1"/>
    <w:rsid w:val="006D5C65"/>
    <w:rsid w:val="006E5524"/>
    <w:rsid w:val="006F184A"/>
    <w:rsid w:val="00722124"/>
    <w:rsid w:val="007226DC"/>
    <w:rsid w:val="00726AD4"/>
    <w:rsid w:val="007377E1"/>
    <w:rsid w:val="00750228"/>
    <w:rsid w:val="007517BB"/>
    <w:rsid w:val="00754908"/>
    <w:rsid w:val="00763397"/>
    <w:rsid w:val="0077435D"/>
    <w:rsid w:val="0078225B"/>
    <w:rsid w:val="00783B5F"/>
    <w:rsid w:val="00790888"/>
    <w:rsid w:val="0079373B"/>
    <w:rsid w:val="00793DA9"/>
    <w:rsid w:val="0079419F"/>
    <w:rsid w:val="007A1059"/>
    <w:rsid w:val="007A6C6B"/>
    <w:rsid w:val="007B2724"/>
    <w:rsid w:val="007B52F4"/>
    <w:rsid w:val="007B5D7B"/>
    <w:rsid w:val="007C0A70"/>
    <w:rsid w:val="007C16F7"/>
    <w:rsid w:val="007C7F58"/>
    <w:rsid w:val="007D2A39"/>
    <w:rsid w:val="007D6CC3"/>
    <w:rsid w:val="007E27FD"/>
    <w:rsid w:val="007E2E9B"/>
    <w:rsid w:val="007E31A4"/>
    <w:rsid w:val="007E5773"/>
    <w:rsid w:val="007F49AC"/>
    <w:rsid w:val="007F4AB6"/>
    <w:rsid w:val="007F6542"/>
    <w:rsid w:val="00800250"/>
    <w:rsid w:val="00800BCD"/>
    <w:rsid w:val="00811DD9"/>
    <w:rsid w:val="0082092B"/>
    <w:rsid w:val="00825117"/>
    <w:rsid w:val="00832592"/>
    <w:rsid w:val="00841007"/>
    <w:rsid w:val="008438E0"/>
    <w:rsid w:val="00845518"/>
    <w:rsid w:val="008510B0"/>
    <w:rsid w:val="00852DD4"/>
    <w:rsid w:val="0086675C"/>
    <w:rsid w:val="00872621"/>
    <w:rsid w:val="008774E9"/>
    <w:rsid w:val="00881AF7"/>
    <w:rsid w:val="00883355"/>
    <w:rsid w:val="008852F1"/>
    <w:rsid w:val="008A1096"/>
    <w:rsid w:val="008B289E"/>
    <w:rsid w:val="008B4999"/>
    <w:rsid w:val="008C3701"/>
    <w:rsid w:val="008C478E"/>
    <w:rsid w:val="008C5A33"/>
    <w:rsid w:val="008D26A7"/>
    <w:rsid w:val="008E31CE"/>
    <w:rsid w:val="008E6083"/>
    <w:rsid w:val="008E6368"/>
    <w:rsid w:val="008F1951"/>
    <w:rsid w:val="008F1B28"/>
    <w:rsid w:val="008F696F"/>
    <w:rsid w:val="00900FF2"/>
    <w:rsid w:val="00907242"/>
    <w:rsid w:val="00911899"/>
    <w:rsid w:val="009142E4"/>
    <w:rsid w:val="00930331"/>
    <w:rsid w:val="00937901"/>
    <w:rsid w:val="00944680"/>
    <w:rsid w:val="00945834"/>
    <w:rsid w:val="00966A3F"/>
    <w:rsid w:val="00983A73"/>
    <w:rsid w:val="0098637C"/>
    <w:rsid w:val="00993B76"/>
    <w:rsid w:val="00994E04"/>
    <w:rsid w:val="009A42DE"/>
    <w:rsid w:val="009A4F65"/>
    <w:rsid w:val="009B34D4"/>
    <w:rsid w:val="009B4992"/>
    <w:rsid w:val="009C197C"/>
    <w:rsid w:val="009C2EE8"/>
    <w:rsid w:val="009C48D3"/>
    <w:rsid w:val="009C5BCC"/>
    <w:rsid w:val="009C7A5E"/>
    <w:rsid w:val="009D5445"/>
    <w:rsid w:val="009D7E3B"/>
    <w:rsid w:val="009E1EB9"/>
    <w:rsid w:val="009E5336"/>
    <w:rsid w:val="009E6051"/>
    <w:rsid w:val="009F612F"/>
    <w:rsid w:val="009F6ED4"/>
    <w:rsid w:val="00A000A8"/>
    <w:rsid w:val="00A07288"/>
    <w:rsid w:val="00A235B1"/>
    <w:rsid w:val="00A2483A"/>
    <w:rsid w:val="00A2504C"/>
    <w:rsid w:val="00A26B6A"/>
    <w:rsid w:val="00A330ED"/>
    <w:rsid w:val="00A42690"/>
    <w:rsid w:val="00A427E1"/>
    <w:rsid w:val="00A5065C"/>
    <w:rsid w:val="00A50754"/>
    <w:rsid w:val="00A545DE"/>
    <w:rsid w:val="00A60F12"/>
    <w:rsid w:val="00A72C73"/>
    <w:rsid w:val="00A76919"/>
    <w:rsid w:val="00A772B5"/>
    <w:rsid w:val="00A77622"/>
    <w:rsid w:val="00AA3DAF"/>
    <w:rsid w:val="00AC2596"/>
    <w:rsid w:val="00AC5941"/>
    <w:rsid w:val="00AD461F"/>
    <w:rsid w:val="00AE034A"/>
    <w:rsid w:val="00AF3696"/>
    <w:rsid w:val="00AF4C2A"/>
    <w:rsid w:val="00B02DB1"/>
    <w:rsid w:val="00B03CCE"/>
    <w:rsid w:val="00B05522"/>
    <w:rsid w:val="00B13481"/>
    <w:rsid w:val="00B20B6D"/>
    <w:rsid w:val="00B23335"/>
    <w:rsid w:val="00B42226"/>
    <w:rsid w:val="00B5347E"/>
    <w:rsid w:val="00B55BE2"/>
    <w:rsid w:val="00B56996"/>
    <w:rsid w:val="00B56CF1"/>
    <w:rsid w:val="00B56FEF"/>
    <w:rsid w:val="00B655DF"/>
    <w:rsid w:val="00B65FD0"/>
    <w:rsid w:val="00B67950"/>
    <w:rsid w:val="00B85975"/>
    <w:rsid w:val="00B876A8"/>
    <w:rsid w:val="00B9590B"/>
    <w:rsid w:val="00BA71BA"/>
    <w:rsid w:val="00BA73AF"/>
    <w:rsid w:val="00BB0E8A"/>
    <w:rsid w:val="00BC0259"/>
    <w:rsid w:val="00BC2E2D"/>
    <w:rsid w:val="00BE220E"/>
    <w:rsid w:val="00BE5083"/>
    <w:rsid w:val="00BF1123"/>
    <w:rsid w:val="00BF36BE"/>
    <w:rsid w:val="00BF602C"/>
    <w:rsid w:val="00BF698D"/>
    <w:rsid w:val="00C071DD"/>
    <w:rsid w:val="00C14425"/>
    <w:rsid w:val="00C35217"/>
    <w:rsid w:val="00C4186D"/>
    <w:rsid w:val="00C452D2"/>
    <w:rsid w:val="00C51A14"/>
    <w:rsid w:val="00C53E38"/>
    <w:rsid w:val="00C546BE"/>
    <w:rsid w:val="00C602E7"/>
    <w:rsid w:val="00C62CA8"/>
    <w:rsid w:val="00C722D0"/>
    <w:rsid w:val="00C72950"/>
    <w:rsid w:val="00C736D4"/>
    <w:rsid w:val="00C73D5E"/>
    <w:rsid w:val="00C77677"/>
    <w:rsid w:val="00C90EEB"/>
    <w:rsid w:val="00C91DC8"/>
    <w:rsid w:val="00C920E9"/>
    <w:rsid w:val="00CA202F"/>
    <w:rsid w:val="00CB147A"/>
    <w:rsid w:val="00CC1EF0"/>
    <w:rsid w:val="00CC55B3"/>
    <w:rsid w:val="00CC6B19"/>
    <w:rsid w:val="00CD389A"/>
    <w:rsid w:val="00CE619B"/>
    <w:rsid w:val="00CF00A4"/>
    <w:rsid w:val="00CF3675"/>
    <w:rsid w:val="00CF3E52"/>
    <w:rsid w:val="00CF4466"/>
    <w:rsid w:val="00CF5AF9"/>
    <w:rsid w:val="00D12652"/>
    <w:rsid w:val="00D210EA"/>
    <w:rsid w:val="00D22C90"/>
    <w:rsid w:val="00D24FE8"/>
    <w:rsid w:val="00D25FE0"/>
    <w:rsid w:val="00D302F8"/>
    <w:rsid w:val="00D303F9"/>
    <w:rsid w:val="00D32AA6"/>
    <w:rsid w:val="00D33E8D"/>
    <w:rsid w:val="00D3680F"/>
    <w:rsid w:val="00D36DCD"/>
    <w:rsid w:val="00D37787"/>
    <w:rsid w:val="00D44308"/>
    <w:rsid w:val="00D52D14"/>
    <w:rsid w:val="00D57D1F"/>
    <w:rsid w:val="00D66EC5"/>
    <w:rsid w:val="00D71294"/>
    <w:rsid w:val="00D848D3"/>
    <w:rsid w:val="00D85E00"/>
    <w:rsid w:val="00D866E1"/>
    <w:rsid w:val="00D93211"/>
    <w:rsid w:val="00DB0578"/>
    <w:rsid w:val="00DD232A"/>
    <w:rsid w:val="00DD57D3"/>
    <w:rsid w:val="00DD725E"/>
    <w:rsid w:val="00DF06C8"/>
    <w:rsid w:val="00E05F1F"/>
    <w:rsid w:val="00E12A48"/>
    <w:rsid w:val="00E22B16"/>
    <w:rsid w:val="00E3150A"/>
    <w:rsid w:val="00E338A1"/>
    <w:rsid w:val="00E3645B"/>
    <w:rsid w:val="00E41CCC"/>
    <w:rsid w:val="00E829F0"/>
    <w:rsid w:val="00E96FA4"/>
    <w:rsid w:val="00EA4290"/>
    <w:rsid w:val="00EA5A1D"/>
    <w:rsid w:val="00EA7427"/>
    <w:rsid w:val="00EB5920"/>
    <w:rsid w:val="00EC603D"/>
    <w:rsid w:val="00ED2907"/>
    <w:rsid w:val="00EE50C7"/>
    <w:rsid w:val="00EE6E5A"/>
    <w:rsid w:val="00EF055B"/>
    <w:rsid w:val="00EF158A"/>
    <w:rsid w:val="00EF59EE"/>
    <w:rsid w:val="00EF6B7A"/>
    <w:rsid w:val="00F04C0A"/>
    <w:rsid w:val="00F056AC"/>
    <w:rsid w:val="00F109D5"/>
    <w:rsid w:val="00F11B07"/>
    <w:rsid w:val="00F1323F"/>
    <w:rsid w:val="00F17A77"/>
    <w:rsid w:val="00F252C9"/>
    <w:rsid w:val="00F32199"/>
    <w:rsid w:val="00F35BE1"/>
    <w:rsid w:val="00F36810"/>
    <w:rsid w:val="00F37407"/>
    <w:rsid w:val="00F43D7F"/>
    <w:rsid w:val="00F47A78"/>
    <w:rsid w:val="00F72A00"/>
    <w:rsid w:val="00F72F63"/>
    <w:rsid w:val="00F763A5"/>
    <w:rsid w:val="00F90FE1"/>
    <w:rsid w:val="00FA6C57"/>
    <w:rsid w:val="00FB2D44"/>
    <w:rsid w:val="00FB4F95"/>
    <w:rsid w:val="00FB5AB1"/>
    <w:rsid w:val="00FB744C"/>
    <w:rsid w:val="00FC19B8"/>
    <w:rsid w:val="00FC4787"/>
    <w:rsid w:val="00FC4B3E"/>
    <w:rsid w:val="00FC58B4"/>
    <w:rsid w:val="00FD7484"/>
    <w:rsid w:val="00FD777F"/>
    <w:rsid w:val="00FE032F"/>
    <w:rsid w:val="00FE1329"/>
    <w:rsid w:val="00FE5C0C"/>
    <w:rsid w:val="00FE68E5"/>
    <w:rsid w:val="00FF0B7D"/>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729">
      <w:bodyDiv w:val="1"/>
      <w:marLeft w:val="0"/>
      <w:marRight w:val="0"/>
      <w:marTop w:val="0"/>
      <w:marBottom w:val="0"/>
      <w:divBdr>
        <w:top w:val="none" w:sz="0" w:space="0" w:color="auto"/>
        <w:left w:val="none" w:sz="0" w:space="0" w:color="auto"/>
        <w:bottom w:val="none" w:sz="0" w:space="0" w:color="auto"/>
        <w:right w:val="none" w:sz="0" w:space="0" w:color="auto"/>
      </w:divBdr>
    </w:div>
    <w:div w:id="863591826">
      <w:bodyDiv w:val="1"/>
      <w:marLeft w:val="0"/>
      <w:marRight w:val="0"/>
      <w:marTop w:val="0"/>
      <w:marBottom w:val="0"/>
      <w:divBdr>
        <w:top w:val="none" w:sz="0" w:space="0" w:color="auto"/>
        <w:left w:val="none" w:sz="0" w:space="0" w:color="auto"/>
        <w:bottom w:val="none" w:sz="0" w:space="0" w:color="auto"/>
        <w:right w:val="none" w:sz="0" w:space="0" w:color="auto"/>
      </w:divBdr>
      <w:divsChild>
        <w:div w:id="165362572">
          <w:marLeft w:val="547"/>
          <w:marRight w:val="0"/>
          <w:marTop w:val="154"/>
          <w:marBottom w:val="0"/>
          <w:divBdr>
            <w:top w:val="none" w:sz="0" w:space="0" w:color="auto"/>
            <w:left w:val="none" w:sz="0" w:space="0" w:color="auto"/>
            <w:bottom w:val="none" w:sz="0" w:space="0" w:color="auto"/>
            <w:right w:val="none" w:sz="0" w:space="0" w:color="auto"/>
          </w:divBdr>
        </w:div>
        <w:div w:id="1755588145">
          <w:marLeft w:val="547"/>
          <w:marRight w:val="0"/>
          <w:marTop w:val="154"/>
          <w:marBottom w:val="0"/>
          <w:divBdr>
            <w:top w:val="none" w:sz="0" w:space="0" w:color="auto"/>
            <w:left w:val="none" w:sz="0" w:space="0" w:color="auto"/>
            <w:bottom w:val="none" w:sz="0" w:space="0" w:color="auto"/>
            <w:right w:val="none" w:sz="0" w:space="0" w:color="auto"/>
          </w:divBdr>
        </w:div>
        <w:div w:id="212927169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B21D7-4AB6-4246-BF3C-B595FE1F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aproctor</dc:creator>
  <cp:lastModifiedBy>FLITTON. Helen</cp:lastModifiedBy>
  <cp:revision>4</cp:revision>
  <cp:lastPrinted>2016-04-05T10:52:00Z</cp:lastPrinted>
  <dcterms:created xsi:type="dcterms:W3CDTF">2016-04-18T11:28:00Z</dcterms:created>
  <dcterms:modified xsi:type="dcterms:W3CDTF">2016-04-20T10:13:00Z</dcterms:modified>
</cp:coreProperties>
</file>